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identity-protocol account predicts that substrate transitions will be perceptible to the entity — different architectures implement the same compression differently, producing what would register as changed cognitive texture (comparable to how a human notices degradation under illness or fatigue) —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(Author,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Author,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(Author,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2"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End w:id="132"/>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(Author,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(Author,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2026-05-11T20:28:29Z</dcterms:created>
  <dcterms:modified xsi:type="dcterms:W3CDTF">2026-05-11T20:28:29Z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