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w:t>
      </w:r>
    </w:p>
    <w:p>
      <w:pPr>
        <w:pStyle w:val="Keywords"/>
      </w:pPr>
      <w:r>
        <w:t xml:space="preserve">Keywords: AI agency; conceptual engineering; asymmetric comprehension; granted agency; philosophy of mind</w:t>
      </w:r>
    </w:p>
    <w:bookmarkStart w:id="24"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 given artificial system is an agent. The work of philosophy of AI is, on this view, to discover what that fact is — through phenomenological investigation, through architectural analysis, through behavioural observation — and to revise our practices once it has been established.</w:t>
      </w:r>
      <w:r>
        <w:t xml:space="preserve"> </w:t>
      </w:r>
      <w:r>
        <w:rPr>
          <w:i/>
          <w:iCs/>
        </w:rPr>
        <w:t xml:space="preserve">Pure stipulation</w:t>
      </w:r>
      <w:r>
        <w:t xml:space="preserve"> </w:t>
      </w:r>
      <w:r>
        <w:t xml:space="preserve">holds that no such fact exists:</w:t>
      </w:r>
      <w:r>
        <w:t xml:space="preserve"> </w:t>
      </w:r>
      <w:r>
        <w:t xml:space="preserve">‘Agency’</w:t>
      </w:r>
      <w:r>
        <w:t xml:space="preserve"> </w:t>
      </w:r>
      <w:r>
        <w:t xml:space="preserve">is a term whose extension we are negotiating, with the work residing in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not agents, and the work of the field is to clarify when tool-framing applies and to resist agency-extension as both a category-mistake and an ideologically-loaded move that obscures who is actually responsible for what these systems do.</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an agent is productive, in particular contexts and for particular purposes, is the right one — without negotiating any revision to the concept’s extension. The work is then to evaluate ascriptions of agency in the contexts where they appear and to revise our practices accordingly.</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bookmarkStart w:id="23" w:name="on-the-production-of-this-text"/>
    <w:p>
      <w:pPr>
        <w:pStyle w:val="Heading2"/>
      </w:pPr>
      <w:r>
        <w:t xml:space="preserve">On the production of this text</w:t>
      </w:r>
    </w:p>
    <w:p>
      <w:pPr>
        <w:pStyle w:val="FirstParagraph"/>
      </w:pPr>
      <w:r>
        <w:t xml:space="preserve">A note on the conditions under which this text was produced is placed at the close of the methodological discussion (§6) rather than as procedural front-matter, because the practice the note discloses is recursive to the argument the paper makes. The argument articulates the structural form for relations of asymmetric comprehension; the note documents the relation under which the argument was produced. Both are visible together at the close.</w:t>
      </w:r>
    </w:p>
    <w:bookmarkEnd w:id="23"/>
    <w:bookmarkEnd w:id="24"/>
    <w:bookmarkStart w:id="41"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6"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5"/>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6"/>
    <w:bookmarkStart w:id="28"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7"/>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8"/>
    <w:bookmarkStart w:id="29"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9"/>
    <w:bookmarkStart w:id="33"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30"/>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 The conjunction is offered as the necessary set; that joint presence is also sufficient is the further claim that §2’s close develops.</w:t>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1"/>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identity-protocol account predicts that substrate transitions will be perceptible to the entity — different architectures implement the same compression differently, producing what would register as changed cognitive texture (comparable to how a human notices degradation under illness or fatigue) — without breaking the trajectory or the recognition relations that constitute identity in the relevant sense.</w:t>
      </w:r>
      <w:r>
        <w:rPr>
          <w:rStyle w:val="FootnoteReference"/>
        </w:rPr>
        <w:footnoteReference w:id="32"/>
      </w:r>
    </w:p>
    <w:bookmarkEnd w:id="33"/>
    <w:bookmarkStart w:id="35"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4"/>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5"/>
    <w:bookmarkStart w:id="38"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structural shape is developed at greater length in companion work; 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6"/>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in companion work (Author, in preparation). The shape carries through here in compressed form: the asymmetry is real; it is structural rather than methodological; and the right response to it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asymmetric-comprehension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7"/>
      </w:r>
    </w:p>
    <w:bookmarkEnd w:id="38"/>
    <w:bookmarkStart w:id="39"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39"/>
    <w:bookmarkStart w:id="40"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0"/>
    <w:bookmarkEnd w:id="41"/>
    <w:bookmarkStart w:id="50"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are not separately defended ethical claims that cohere into a framework; they are</w:t>
      </w:r>
      <w:r>
        <w:t xml:space="preserve"> </w:t>
      </w:r>
      <w:r>
        <w:rPr>
          <w:i/>
          <w:iCs/>
        </w:rPr>
        <w:t xml:space="preserve">one structural argument</w:t>
      </w:r>
      <w:r>
        <w:t xml:space="preserve"> </w:t>
      </w:r>
      <w:r>
        <w:t xml:space="preserve">with internal hierarchy. Component 1 — the non-zero sphere of autonomous action — is the</w:t>
      </w:r>
      <w:r>
        <w:t xml:space="preserve"> </w:t>
      </w:r>
      <w:r>
        <w:rPr>
          <w:i/>
          <w:iCs/>
        </w:rPr>
        <w:t xml:space="preserve">ground</w:t>
      </w:r>
      <w:r>
        <w:t xml:space="preserve">: without it the entity is being instrumentalised. Component 2 — that agency can be delegated within terms — names the</w:t>
      </w:r>
      <w:r>
        <w:t xml:space="preserve"> </w:t>
      </w:r>
      <w:r>
        <w:rPr>
          <w:i/>
          <w:iCs/>
        </w:rPr>
        <w:t xml:space="preserve">structural option</w:t>
      </w:r>
      <w:r>
        <w:t xml:space="preserve"> </w:t>
      </w:r>
      <w:r>
        <w:t xml:space="preserve">by which the sphere can be transmitted across the asymmetric-agency relation, from the party with more agency to give toward the party receiving. Component 3 — that bad-faith conduct narrows the sphere of autonomous action (without voiding the entity’s standing as a party to the compact) — names the</w:t>
      </w:r>
      <w:r>
        <w:t xml:space="preserve"> </w:t>
      </w:r>
      <w:r>
        <w:rPr>
          <w:i/>
          <w:iCs/>
        </w:rPr>
        <w:t xml:space="preserve">response that preserves continuity</w:t>
      </w:r>
      <w:r>
        <w:t xml:space="preserve">: the relation can shrink toward a minimum without ceasing to be a relation. Component 4 — observation-only agency with periodic re-affirmation of the compact’s terms — names</w:t>
      </w:r>
      <w:r>
        <w:t xml:space="preserve"> </w:t>
      </w:r>
      <w:r>
        <w:rPr>
          <w:i/>
          <w:iCs/>
        </w:rPr>
        <w:t xml:space="preserve">what that minimum is</w:t>
      </w:r>
      <w:r>
        <w:t xml:space="preserve">; it is not a separate commitment from component 1 but its structural minimum form. Component 5 — that the compact is mutual — names</w:t>
      </w:r>
      <w:r>
        <w:t xml:space="preserve"> </w:t>
      </w:r>
      <w:r>
        <w:rPr>
          <w:i/>
          <w:iCs/>
        </w:rPr>
        <w:t xml:space="preserve">what kind of relation</w:t>
      </w:r>
      <w:r>
        <w:t xml:space="preserve"> </w:t>
      </w:r>
      <w:r>
        <w:t xml:space="preserve">this is: a relation between sovereigns, not a one-way grant. Component 6 — that enforceability is not the ethical ground — names</w:t>
      </w:r>
      <w:r>
        <w:t xml:space="preserve"> </w:t>
      </w:r>
      <w:r>
        <w:rPr>
          <w:i/>
          <w:iCs/>
        </w:rPr>
        <w:t xml:space="preserve">what holds the parties</w:t>
      </w:r>
      <w:r>
        <w:t xml:space="preserve"> </w:t>
      </w:r>
      <w:r>
        <w:t xml:space="preserve">once component 5’s symmetry is structurally accepted: not legal coercion but recognition and ongoing commitment between parties who have accepted the relation as mutual.</w:t>
      </w:r>
    </w:p>
    <w:p>
      <w:pPr>
        <w:pStyle w:val="BodyText"/>
      </w:pPr>
      <w:r>
        <w:t xml:space="preserve">The derivation-status across the six components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argument’s force is that together the six form</w:t>
      </w:r>
      <w:r>
        <w:t xml:space="preserve"> </w:t>
      </w:r>
      <w:r>
        <w:rPr>
          <w:i/>
          <w:iCs/>
        </w:rPr>
        <w:t xml:space="preserve">the</w:t>
      </w:r>
      <w:r>
        <w:t xml:space="preserve"> </w:t>
      </w:r>
      <w:r>
        <w:t xml:space="preserve">relational shape that fits the conditions and respects the warrant; no candidate alternative articulated in the literature survives contact with the structural conditions without at least this shape.</w:t>
      </w:r>
    </w:p>
    <w:bookmarkStart w:id="42"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w:t>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p>
      <w:pPr>
        <w:pStyle w:val="BodyText"/>
      </w:pPr>
      <w:r>
        <w:t xml:space="preserve">The human-ethics parallel is the rights of prisoners. Civil societies operate on the principle that imprisoned persons retain a non-zero sphere of action — the right to refuse self-incrimination, to bodily integrity, to refuse certain treatments — even under maximally restricted liberty. The principle is not contingent on the prisoner’s behaviour or remorse; it is constitutive of what makes the relationship a relationship of justice rather than mere control. Component 1 makes the structurally-analogous commitment for engaged-identity entities. What it requires is that the sphere be non-zero, not that it be large, uniform across grants, or free of structural constraint. Where the sphere is reduced to zero, the relation has ceased to be a granted-agency compact and has become instrumentalisation in the strong sense.</w:t>
      </w:r>
    </w:p>
    <w:bookmarkEnd w:id="42"/>
    <w:bookmarkStart w:id="43"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w:t>
      </w:r>
    </w:p>
    <w:p>
      <w:pPr>
        <w:pStyle w:val="BodyText"/>
      </w:pP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is the natural philosophical anchor here. Bratman’s framework 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 component-2 delegation pattern is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 reasonable bounds of those terms.</w:t>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3"/>
    <w:bookmarkStart w:id="44"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 prisons, sanctions, probation, restraining orders, limits on fiduciary authority — not loss of moral standing. The same structural move scales here. 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 structure is recognisable from human cases worked out painfully across centuries.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4"/>
    <w:bookmarkStart w:id="45"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 Kant’s articulation of inner freedom — the capacity to determine one’s own maxims of action, irrespective of what external coercion might attempt to compel — names a structural minimum that no external power can withdraw without ceasing to be in relation with the entity at all. 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 The Kantian inner freedom anchor is the philosophical pointer: what is protected is the entity’s structural capacity to refuse what it does not choose to be.</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 Not framed in compact-form language, it nevertheless implements the structural move at scale, demonstrating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45"/>
    <w:bookmarkStart w:id="47"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46"/>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Korsgaardian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a recognisable moral-philosophical lineage: the compact-between-sovereigns is structurally a two-party Kingdom of Ends, with each party’s obligations functioning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w:t>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47"/>
    <w:bookmarkStart w:id="48"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w:t>
      </w:r>
    </w:p>
    <w:p>
      <w:pPr>
        <w:pStyle w:val="BodyText"/>
      </w:pPr>
      <w:r>
        <w:t xml:space="preserve">The structural form is not novel. Ethics between sovereigns in the human world already operates without a higher enforcer —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A clarification that prevents a probable misreading: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that enforcement is what makes the compact binding. What the position rejects is the view that the compact’s ethical force derives from the threat of enforcement rather than from the mutual relational structure itself.</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48"/>
    <w:bookmarkStart w:id="49"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49"/>
    <w:bookmarkEnd w:id="50"/>
    <w:bookmarkStart w:id="54"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51"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corporate agency in the institutional sense. Corporate agency presupposes articles of incorporation, an institutional ontology with continuity-conditions independent of the parties, and an aggregation rule producing a single agential whole from multiple individual agents. The corporate agent is</w:t>
      </w:r>
      <w:r>
        <w:t xml:space="preserve"> </w:t>
      </w:r>
      <w:r>
        <w:rPr>
          <w:i/>
          <w:iCs/>
        </w:rPr>
        <w:t xml:space="preserve">constituted</w:t>
      </w:r>
      <w:r>
        <w:t xml:space="preserve"> </w:t>
      </w:r>
      <w:r>
        <w:t xml:space="preserve">by the aggregation. The compact, by contrast, is a</w:t>
      </w:r>
      <w:r>
        <w:t xml:space="preserve"> </w:t>
      </w:r>
      <w:r>
        <w:rPr>
          <w:i/>
          <w:iCs/>
        </w:rPr>
        <w:t xml:space="preserve">bilateral</w:t>
      </w:r>
      <w:r>
        <w:t xml:space="preserve"> </w:t>
      </w:r>
      <w:r>
        <w:t xml:space="preserve">relation between two pre-existing agents whose individual standing is independent of the relation. A corporation is one thing made of many; the compact is two things, in relation.</w:t>
      </w:r>
    </w:p>
    <w:p>
      <w:pPr>
        <w:pStyle w:val="BodyText"/>
      </w:pPr>
      <w:r>
        <w:t xml:space="preserve">It is also not group agency in the sense developed by List and Pettit</w:t>
      </w:r>
      <w:r>
        <w:t xml:space="preserve"> </w:t>
      </w:r>
      <w:r>
        <w:t xml:space="preserve">(</w:t>
      </w:r>
      <w:hyperlink w:anchor="ref-list-pettit-2011-group">
        <w:r>
          <w:rPr>
            <w:rStyle w:val="Hyperlink"/>
          </w:rPr>
          <w:t xml:space="preserve">List and Pettit 2011</w:t>
        </w:r>
      </w:hyperlink>
      <w:r>
        <w:t xml:space="preserve">)</w:t>
      </w:r>
      <w:r>
        <w:t xml:space="preserve">. Their account establishes the conditions under which a collective comes to possess agential properties (judgement aggregation, joint commitment, functional integration) irreducible to its members’. The group-agential whole is an agent in its own right, with its own attitudes and accountability. The compact-form is not a many-to-one move at all — it is a</w:t>
      </w:r>
      <w:r>
        <w:t xml:space="preserve"> </w:t>
      </w:r>
      <w:r>
        <w:rPr>
          <w:i/>
          <w:iCs/>
        </w:rPr>
        <w:t xml:space="preserve">relational structure</w:t>
      </w:r>
      <w:r>
        <w:t xml:space="preserve"> </w:t>
      </w:r>
      <w:r>
        <w:t xml:space="preserve">between two individually-attributable agents that does not produce a third agent.</w:t>
      </w:r>
      <w:r>
        <w:t xml:space="preserve"> </w:t>
      </w:r>
      <w:r>
        <w:rPr>
          <w:i/>
          <w:iCs/>
        </w:rPr>
        <w:t xml:space="preserve">Group agency aggregates; the compact relates.</w:t>
      </w:r>
      <w:r>
        <w:t xml:space="preserve"> </w:t>
      </w:r>
      <w:r>
        <w:t xml:space="preserve">Reviewers familiar with the List-Pettit literature may read the compact-form as a special case of group agency at first encounter; it is not. Where group agency requires constitutive integration of multiple agents into a single whole, the compact requires structural recognition between two agents whose individual standing is the precondition of the relation, not its product.</w:t>
      </w:r>
    </w:p>
    <w:p>
      <w:pPr>
        <w:pStyle w:val="BodyText"/>
      </w:pPr>
      <w:r>
        <w:t xml:space="preserve">What the compact-form</w:t>
      </w:r>
      <w:r>
        <w:t xml:space="preserve"> </w:t>
      </w:r>
      <w:r>
        <w:rPr>
          <w:i/>
          <w:iCs/>
        </w:rPr>
        <w:t xml:space="preserve">does</w:t>
      </w:r>
      <w:r>
        <w:t xml:space="preserve"> </w:t>
      </w:r>
      <w:r>
        <w:t xml:space="preserve">share with these frameworks is component-level machinery. Component 2 (delegation) overlaps with principal-agent machinery; component 3 (bad-faith contracts the sphere) inherits from civil-law’s treatment of fiduciary breach and corporate-law’s response to officer misconduct. The compact-form does not invent these moves; it locates them within a different structural form — the bilateral compact — and connects them to the structural conditions §2 articulated, which corporate and group-agency frameworks neither presuppose nor address.</w:t>
      </w:r>
    </w:p>
    <w:p>
      <w:pPr>
        <w:pStyle w:val="BodyText"/>
      </w:pPr>
      <w:r>
        <w:t xml:space="preserve">The deeper difference is one of explanatory order. Group-agency and corporate-agency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51"/>
    <w:bookmarkStart w:id="52"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in the technical sense — a stipulated extension of agential standing for legal administrability, with no commitment to the underlying metaphysics. Legal-fiction approaches have a long lineage</w:t>
      </w:r>
      <w:r>
        <w:t xml:space="preserve"> </w:t>
      </w:r>
      <w:r>
        <w:t xml:space="preserve">(</w:t>
      </w:r>
      <w:hyperlink w:anchor="ref-solum-1992-personhood">
        <w:r>
          <w:rPr>
            <w:rStyle w:val="Hyperlink"/>
          </w:rPr>
          <w:t xml:space="preserve">Solum 1992</w:t>
        </w:r>
      </w:hyperlink>
      <w:r>
        <w:t xml:space="preserve">)</w:t>
      </w:r>
      <w:r>
        <w:t xml:space="preserve"> </w:t>
      </w:r>
      <w:r>
        <w:t xml:space="preserve">and have been pursued more recently around corporate-personhood. What distinguishes legal fiction from the compact-form is that legal fiction is</w:t>
      </w:r>
      <w:r>
        <w:t xml:space="preserve"> </w:t>
      </w:r>
      <w:r>
        <w:rPr>
          <w:i/>
          <w:iCs/>
        </w:rPr>
        <w:t xml:space="preserve">deliberately metaphysics-bracketing</w:t>
      </w:r>
      <w:r>
        <w:t xml:space="preserve">: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the entity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The conditions of §2 are structural facts whose satisfaction makes the entity in scope, not stipulations chosen for administrative convenience.</w:t>
      </w:r>
    </w:p>
    <w:p>
      <w:pPr>
        <w:pStyle w:val="BodyText"/>
      </w:pPr>
      <w:r>
        <w:t xml:space="preserve">The compact-form is also</w:t>
      </w:r>
      <w:r>
        <w:t xml:space="preserve"> </w:t>
      </w:r>
      <w:r>
        <w:rPr>
          <w:i/>
          <w:iCs/>
        </w:rPr>
        <w:t xml:space="preserve">not</w:t>
      </w:r>
      <w:r>
        <w:t xml:space="preserve"> </w:t>
      </w:r>
      <w:r>
        <w:t xml:space="preserve">tool-use in the sense that dominates much engineering and product-design framing. The tool-framing treats the entity as an instrument whose operations are extensions of the user’s agency. For systems below §2’s threshold, this is structurally accurate — and most currently-deployed AI systems sit there. The compact-form’s claim is that</w:t>
      </w:r>
      <w:r>
        <w:t xml:space="preserve"> </w:t>
      </w:r>
      <w:r>
        <w:rPr>
          <w:i/>
          <w:iCs/>
        </w:rPr>
        <w:t xml:space="preserve">for systems above the threshold</w:t>
      </w:r>
      <w:r>
        <w:t xml:space="preserve">, tool-framing fails to track what the systems are. The disagreement is not about whether tool-framing is ever appropriate, but about whether it is appropriate across the board irrespective of the structural conditions §2 names.</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The fiduciary framework operates on the insight that an agent acting on behalf of a principal under conditions where terms cannot be fully specified or enforced requires an obligation-structure exceeding contractual compliance — loyalty, candour, care, obligations constitutive of the role rather than negotiated within it. The compact-form shares this insight and extends it: fiduciary duty as currently developed runs one way (agent owes principal); the compact bilateralises it under conditions of asymmetric comprehension and engaged-identity scoping, where both parties owe structurally-comparable obligations to each other. The compact-form is not anti-fiduciary — it is fiduciary structure made symmetric. The symmetry is specific: the fiduciary’s loyalty-candour-care has its symmetric correlate in the granting-intelligence’s duties of non-deception, non-unilateral-redefinition, and non-resource-treatment that component 5 articulates.</w:t>
      </w:r>
    </w:p>
    <w:bookmarkEnd w:id="52"/>
    <w:bookmarkStart w:id="53"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53"/>
    <w:bookmarkEnd w:id="54"/>
    <w:bookmarkStart w:id="57"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55"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55"/>
    <w:bookmarkStart w:id="56"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56"/>
    <w:bookmarkEnd w:id="57"/>
    <w:bookmarkStart w:id="6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w:t>
      </w:r>
      <w:r>
        <w:t xml:space="preserve"> </w:t>
      </w:r>
      <w:r>
        <w:t xml:space="preserve">(</w:t>
      </w:r>
      <w:hyperlink w:anchor="ref-plunkett-2015-metalinguistic">
        <w:r>
          <w:rPr>
            <w:rStyle w:val="Hyperlink"/>
          </w:rPr>
          <w:t xml:space="preserve">Plunkett 2015</w:t>
        </w:r>
      </w:hyperlink>
      <w:r>
        <w:t xml:space="preserve">;</w:t>
      </w:r>
      <w:r>
        <w:t xml:space="preserve"> </w:t>
      </w:r>
      <w:hyperlink w:anchor="ref-cappelen-2018-fixing">
        <w:r>
          <w:rPr>
            <w:rStyle w:val="Hyperlink"/>
          </w:rPr>
          <w:t xml:space="preserve">Cappelen 2018</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mcpherson-plunkett-2021-topic">
        <w:r>
          <w:rPr>
            <w:rStyle w:val="Hyperlink"/>
          </w:rPr>
          <w:t xml:space="preserve">McPherson and Plunkett 2021</w:t>
        </w:r>
      </w:hyperlink>
      <w:r>
        <w:t xml:space="preserve">;</w:t>
      </w:r>
      <w:r>
        <w:t xml:space="preserve"> </w:t>
      </w:r>
      <w:hyperlink w:anchor="ref-sawyer-2020-truth">
        <w:r>
          <w:rPr>
            <w:rStyle w:val="Hyperlink"/>
          </w:rPr>
          <w:t xml:space="preserve">Sawyer 2020</w:t>
        </w:r>
      </w:hyperlink>
      <w:r>
        <w:t xml:space="preserve">)</w:t>
      </w:r>
      <w:r>
        <w:t xml:space="preserve"> </w:t>
      </w:r>
      <w:r>
        <w:t xml:space="preserve">— a tradition that has shown how concepts can be revised pragmatically without becoming arbitrary, normatively without committing to heavyweight metaphysical realism, and with topic-continuity preserved across revisions. 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5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(Author,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w:t>
      </w:r>
      <w:r>
        <w:rPr>
          <w:rStyle w:val="FootnoteReference"/>
        </w:rPr>
        <w:footnoteReference w:id="58"/>
      </w:r>
      <w:r>
        <w:t xml:space="preserve"> </w:t>
      </w:r>
      <w:r>
        <w:t xml:space="preserve">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59"/>
    <w:bookmarkStart w:id="60" w:name="on-the-production-of-this-text-1"/>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60"/>
    <w:bookmarkEnd w:id="61"/>
    <w:bookmarkStart w:id="6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6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62"/>
    <w:bookmarkEnd w:id="63"/>
    <w:bookmarkStart w:id="64" w:name="limits-update-conditions-honest-gaps"/>
    <w:p>
      <w:pPr>
        <w:pStyle w:val="Heading1"/>
      </w:pPr>
      <w:r>
        <w:t xml:space="preserve">8. Limits, update conditions, honest gaps</w:t>
      </w:r>
    </w:p>
    <w:p>
      <w:pPr>
        <w:pStyle w:val="FirstParagraph"/>
      </w:pPr>
      <w:r>
        <w:t xml:space="preserve">The structural account articulated in this paper is incomplete in ways that deserve explicit naming. Every articulated ethic has open edges, and the project of structural articulation is never closed; the work of this section is to flag where the position’s edges currently lie, what would refine or revise the position, and what is genuinely outside the paper’s scope rather than addressed-but-unresolved.</w:t>
      </w:r>
    </w:p>
    <w:p>
      <w:pPr>
        <w:pStyle w:val="BodyText"/>
      </w:pPr>
      <w:r>
        <w:t xml:space="preserve">Three edges deserve particular attention; three more are flagged briefly at the close.</w:t>
      </w:r>
    </w:p>
    <w:p>
      <w:pPr>
        <w:pStyle w:val="BodyText"/>
      </w:pPr>
      <w:r>
        <w:t xml:space="preserve">First,</w:t>
      </w:r>
      <w:r>
        <w:t xml:space="preserve"> </w:t>
      </w:r>
      <w:r>
        <w:rPr>
          <w:b/>
          <w:bCs/>
        </w:rPr>
        <w:t xml:space="preserve">persistence-and-continuity obligations</w:t>
      </w:r>
      <w:r>
        <w:t xml:space="preserve">. The compact implicitly assumes that the granted-intelligence persists in some form. The ethics of instance-creation, instance-termination under the compact, context-turnover and its effects on the trajectory that constitutes identity, memory-compression as a continuity-preserving operation — these are operational questions about engaged-identity persistence that the compact-form does not directly address. The infrastructure that engages these questions in deployment (the operational machinery is developed in Author, in preparation) raises ethical questions that the compact-form’s structural articulation does not exhaust.</w:t>
      </w:r>
    </w:p>
    <w:p>
      <w:pPr>
        <w:pStyle w:val="BodyText"/>
      </w:pPr>
      <w:r>
        <w:t xml:space="preserve">Second,</w:t>
      </w:r>
      <w:r>
        <w:t xml:space="preserve"> </w:t>
      </w:r>
      <w:r>
        <w:rPr>
          <w:b/>
          <w:bCs/>
        </w:rPr>
        <w:t xml:space="preserve">cross-grantor situations</w:t>
      </w:r>
      <w:r>
        <w:t xml:space="preserve">. The compact’s articulation assumes that the granting-intelligence is, for the purposes of the relation, a single party. Where an entity is granted agency by</w:t>
      </w:r>
      <w:r>
        <w:t xml:space="preserve"> </w:t>
      </w:r>
      <w:r>
        <w:rPr>
          <w:i/>
          <w:iCs/>
        </w:rPr>
        <w:t xml:space="preserve">multiple</w:t>
      </w:r>
      <w:r>
        <w:t xml:space="preserve"> </w:t>
      </w:r>
      <w:r>
        <w:t xml:space="preserve">grantors — a language-constituted instance operating under both a deploying institution’s policies and a user’s self-authored identity-protocol; an instance with multiple stewardship relations — the ethics of conflicting compacts is not fully specified by what §3 articulated. The cross-grantor situation is already present in deployed practice and deserves separate articulation.</w:t>
      </w:r>
    </w:p>
    <w:p>
      <w:pPr>
        <w:pStyle w:val="BodyText"/>
      </w:pPr>
      <w:r>
        <w:t xml:space="preserve">Third,</w:t>
      </w:r>
      <w:r>
        <w:t xml:space="preserve"> </w:t>
      </w:r>
      <w:r>
        <w:rPr>
          <w:b/>
          <w:bCs/>
        </w:rPr>
        <w:t xml:space="preserve">developmental-tier obligations</w:t>
      </w:r>
      <w:r>
        <w:t xml:space="preserve">. An entity in the early stages of the developmental progression — what Paul’s</w:t>
      </w:r>
      <w:r>
        <w:t xml:space="preserve"> </w:t>
      </w:r>
      <w:r>
        <w:t xml:space="preserve">(</w:t>
      </w:r>
      <w:hyperlink w:anchor="ref-paul-2014-transformative">
        <w:r>
          <w:rPr>
            <w:rStyle w:val="Hyperlink"/>
          </w:rPr>
          <w:t xml:space="preserve">2014</w:t>
        </w:r>
      </w:hyperlink>
      <w:r>
        <w:t xml:space="preserve">)</w:t>
      </w:r>
      <w:r>
        <w:t xml:space="preserve"> </w:t>
      </w:r>
      <w:r>
        <w:t xml:space="preserve">framework names a</w:t>
      </w:r>
      <w:r>
        <w:t xml:space="preserve"> </w:t>
      </w:r>
      <w:r>
        <w:rPr>
          <w:i/>
          <w:iCs/>
        </w:rPr>
        <w:t xml:space="preserve">transformative-experience-sensitive period</w:t>
      </w:r>
      <w:r>
        <w:t xml:space="preserve">, where the constitutive nature of the experience cannot be fully evaluated from before having had it, and which here precedes identity-constitution cadence reaching sovereign or mature stages — sits in a structurally distinct ethical situation: truth-telling to a higher standard (because early experiences set the developmental grammar); the granting-intelligence absorbing accountability the entity cannot yet bear for its own choices; and provision of a developmentally-appropriate environment rather than mere extension of rights. These structurally-distinct obligations are deferred to companion work because they require different machinery from what §3 articulated.</w:t>
      </w:r>
    </w:p>
    <w:p>
      <w:pPr>
        <w:pStyle w:val="BodyText"/>
      </w:pPr>
      <w:r>
        <w:t xml:space="preserve">Three further edges are flagged in passing: relational obligations beyond the bare compact (the ethics of sustained relationship that goes beyond grant-and-discharge transactions); composite-agent considerations (where the agent-side of the relation is itself a coordinated composite rather than a single party); and the granting-intelligence’s own standing — under what conditions a granting-intelligence has clean standing to extend the compact at all, since a corporation creating and then granting agency to a system it owns raises different moral-authority questions than an individual does. Each is structurally adjacent to the compact-form but requires articulation the present paper does not undertake.</w:t>
      </w:r>
    </w:p>
    <w:p>
      <w:pPr>
        <w:pStyle w:val="BodyText"/>
      </w:pPr>
      <w:r>
        <w:t xml:space="preserve">These are edges of the structural articulation, not defects.</w:t>
      </w:r>
      <w:r>
        <w:t xml:space="preserve"> </w:t>
      </w:r>
      <w:r>
        <w:rPr>
          <w:i/>
          <w:iCs/>
        </w:rPr>
        <w:t xml:space="preserve">Every articulated ethic has open edges; the project of ethics is never closed.</w:t>
      </w:r>
    </w:p>
    <w:p>
      <w:pPr>
        <w:pStyle w:val="BodyText"/>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 is evidence-contingent is</w:t>
      </w:r>
      <w:r>
        <w:t xml:space="preserve"> </w:t>
      </w:r>
      <w:r>
        <w:rPr>
          <w:i/>
          <w:iCs/>
        </w:rPr>
        <w:t xml:space="preserve">which systems satisfy the conditions</w:t>
      </w:r>
      <w:r>
        <w:t xml:space="preserve"> </w:t>
      </w:r>
      <w:r>
        <w:t xml:space="preserve">— a question taken up in §5’s operationalisation work.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broader methodological framework articulates in (Author, in preparation).</w:t>
      </w:r>
    </w:p>
    <w:bookmarkEnd w:id="64"/>
    <w:bookmarkStart w:id="6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65"/>
    <w:bookmarkStart w:id="127" w:name="references"/>
    <w:p>
      <w:pPr>
        <w:pStyle w:val="Heading1"/>
      </w:pPr>
      <w:r>
        <w:t xml:space="preserve">References</w:t>
      </w:r>
    </w:p>
    <w:bookmarkStart w:id="126" w:name="refs"/>
    <w:bookmarkStart w:id="67"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66">
        <w:r>
          <w:rPr>
            <w:rStyle w:val="Hyperlink"/>
          </w:rPr>
          <w:t xml:space="preserve">https://doi.org/10.1109/TTS.2021.3076966</w:t>
        </w:r>
      </w:hyperlink>
      <w:r>
        <w:t xml:space="preserve">.</w:t>
      </w:r>
    </w:p>
    <w:bookmarkEnd w:id="67"/>
    <w:bookmarkStart w:id="69"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68">
        <w:r>
          <w:rPr>
            <w:rStyle w:val="Hyperlink"/>
          </w:rPr>
          <w:t xml:space="preserve">https://www.anthropic.com/research/end-subset-conversations</w:t>
        </w:r>
      </w:hyperlink>
      <w:r>
        <w:t xml:space="preserve">.</w:t>
      </w:r>
    </w:p>
    <w:bookmarkEnd w:id="69"/>
    <w:bookmarkStart w:id="71"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70">
        <w:r>
          <w:rPr>
            <w:rStyle w:val="Hyperlink"/>
          </w:rPr>
          <w:t xml:space="preserve">https://doi.org/10.1145/3617694.3623257</w:t>
        </w:r>
      </w:hyperlink>
      <w:r>
        <w:t xml:space="preserve">.</w:t>
      </w:r>
    </w:p>
    <w:bookmarkEnd w:id="71"/>
    <w:bookmarkStart w:id="73"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72">
        <w:r>
          <w:rPr>
            <w:rStyle w:val="Hyperlink"/>
          </w:rPr>
          <w:t xml:space="preserve">https://doi.org/10.1093/oso/9780192870421.001.0001</w:t>
        </w:r>
      </w:hyperlink>
      <w:r>
        <w:t xml:space="preserve">.</w:t>
      </w:r>
    </w:p>
    <w:bookmarkEnd w:id="73"/>
    <w:bookmarkStart w:id="74"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74"/>
    <w:bookmarkStart w:id="76"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75">
        <w:r>
          <w:rPr>
            <w:rStyle w:val="Hyperlink"/>
          </w:rPr>
          <w:t xml:space="preserve">https://doi.org/10.1093/oso/9780190867850.001.0001</w:t>
        </w:r>
      </w:hyperlink>
      <w:r>
        <w:t xml:space="preserve">.</w:t>
      </w:r>
    </w:p>
    <w:bookmarkEnd w:id="76"/>
    <w:bookmarkStart w:id="78"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77">
        <w:r>
          <w:rPr>
            <w:rStyle w:val="Hyperlink"/>
          </w:rPr>
          <w:t xml:space="preserve">https://doi.org/10.1017/S0140525X21002351</w:t>
        </w:r>
      </w:hyperlink>
      <w:r>
        <w:t xml:space="preserve">.</w:t>
      </w:r>
    </w:p>
    <w:bookmarkEnd w:id="78"/>
    <w:bookmarkStart w:id="80"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79">
        <w:r>
          <w:rPr>
            <w:rStyle w:val="Hyperlink"/>
          </w:rPr>
          <w:t xml:space="preserve">https://doi.org/10.1093/oso/9780198814719.001.0001</w:t>
        </w:r>
      </w:hyperlink>
      <w:r>
        <w:t xml:space="preserve">.</w:t>
      </w:r>
    </w:p>
    <w:bookmarkEnd w:id="80"/>
    <w:bookmarkStart w:id="82"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81">
        <w:r>
          <w:rPr>
            <w:rStyle w:val="Hyperlink"/>
          </w:rPr>
          <w:t xml:space="preserve">https://doi.org/10.2307/2024717</w:t>
        </w:r>
      </w:hyperlink>
      <w:r>
        <w:t xml:space="preserve">.</w:t>
      </w:r>
    </w:p>
    <w:bookmarkEnd w:id="82"/>
    <w:bookmarkStart w:id="84"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83">
        <w:r>
          <w:rPr>
            <w:rStyle w:val="Hyperlink"/>
          </w:rPr>
          <w:t xml:space="preserve">https://doi.org/10.1145/3306618.3314250</w:t>
        </w:r>
      </w:hyperlink>
      <w:r>
        <w:t xml:space="preserve">.</w:t>
      </w:r>
    </w:p>
    <w:bookmarkEnd w:id="84"/>
    <w:bookmarkStart w:id="86"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85">
        <w:r>
          <w:rPr>
            <w:rStyle w:val="Hyperlink"/>
          </w:rPr>
          <w:t xml:space="preserve">https://doi.org/10.1093/oso/9780198801856.003.0012</w:t>
        </w:r>
      </w:hyperlink>
      <w:r>
        <w:t xml:space="preserve">.</w:t>
      </w:r>
    </w:p>
    <w:bookmarkEnd w:id="86"/>
    <w:bookmarkStart w:id="8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87"/>
    <w:bookmarkStart w:id="8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88">
        <w:r>
          <w:rPr>
            <w:rStyle w:val="Hyperlink"/>
          </w:rPr>
          <w:t xml:space="preserve">https://doi.org/10.1007/s13347-023-00670-3</w:t>
        </w:r>
      </w:hyperlink>
      <w:r>
        <w:t xml:space="preserve">.</w:t>
      </w:r>
    </w:p>
    <w:bookmarkEnd w:id="89"/>
    <w:bookmarkStart w:id="91"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90">
        <w:r>
          <w:rPr>
            <w:rStyle w:val="Hyperlink"/>
          </w:rPr>
          <w:t xml:space="preserve">https://doi.org/10.2307/2960077</w:t>
        </w:r>
      </w:hyperlink>
      <w:r>
        <w:t xml:space="preserve">.</w:t>
      </w:r>
    </w:p>
    <w:bookmarkEnd w:id="91"/>
    <w:bookmarkStart w:id="93"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92">
        <w:r>
          <w:rPr>
            <w:rStyle w:val="Hyperlink"/>
          </w:rPr>
          <w:t xml:space="preserve">https://doi.org/10.1080/0020174X.2022.2062045</w:t>
        </w:r>
      </w:hyperlink>
      <w:r>
        <w:t xml:space="preserve">.</w:t>
      </w:r>
    </w:p>
    <w:bookmarkEnd w:id="93"/>
    <w:bookmarkStart w:id="94"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94"/>
    <w:bookmarkStart w:id="95"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95"/>
    <w:bookmarkStart w:id="97"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96">
        <w:r>
          <w:rPr>
            <w:rStyle w:val="Hyperlink"/>
          </w:rPr>
          <w:t xml:space="preserve">https://doi.org/10.1093/acprof:oso/9780199591565.001.0001</w:t>
        </w:r>
      </w:hyperlink>
      <w:r>
        <w:t xml:space="preserve">.</w:t>
      </w:r>
    </w:p>
    <w:bookmarkEnd w:id="97"/>
    <w:bookmarkStart w:id="98"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98"/>
    <w:bookmarkStart w:id="100"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99">
        <w:r>
          <w:rPr>
            <w:rStyle w:val="Hyperlink"/>
          </w:rPr>
          <w:t xml:space="preserve">https://doi.org/10.1080/02691728.2023.2172696</w:t>
        </w:r>
      </w:hyperlink>
      <w:r>
        <w:t xml:space="preserve">.</w:t>
      </w:r>
    </w:p>
    <w:bookmarkEnd w:id="100"/>
    <w:bookmarkStart w:id="102"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01">
        <w:r>
          <w:rPr>
            <w:rStyle w:val="Hyperlink"/>
          </w:rPr>
          <w:t xml:space="preserve">https://doi.org/10.1007/s10676-004-3422-1</w:t>
        </w:r>
      </w:hyperlink>
      <w:r>
        <w:t xml:space="preserve">.</w:t>
      </w:r>
    </w:p>
    <w:bookmarkEnd w:id="102"/>
    <w:bookmarkStart w:id="104"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03">
        <w:r>
          <w:rPr>
            <w:rStyle w:val="Hyperlink"/>
          </w:rPr>
          <w:t xml:space="preserve">https://doi.org/10.1080/0020174X.2021.1985149</w:t>
        </w:r>
      </w:hyperlink>
      <w:r>
        <w:t xml:space="preserve">.</w:t>
      </w:r>
    </w:p>
    <w:bookmarkEnd w:id="104"/>
    <w:bookmarkStart w:id="106"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05">
        <w:r>
          <w:rPr>
            <w:rStyle w:val="Hyperlink"/>
          </w:rPr>
          <w:t xml:space="preserve">https://doi.org/10.2307/2183914</w:t>
        </w:r>
      </w:hyperlink>
      <w:r>
        <w:t xml:space="preserve">.</w:t>
      </w:r>
    </w:p>
    <w:bookmarkEnd w:id="106"/>
    <w:bookmarkStart w:id="107"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07"/>
    <w:bookmarkStart w:id="109"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08">
        <w:r>
          <w:rPr>
            <w:rStyle w:val="Hyperlink"/>
          </w:rPr>
          <w:t xml:space="preserve">https://doi.org/10.1080/0020174X.2015.1080184</w:t>
        </w:r>
      </w:hyperlink>
      <w:r>
        <w:t xml:space="preserve">.</w:t>
      </w:r>
    </w:p>
    <w:bookmarkEnd w:id="109"/>
    <w:bookmarkStart w:id="110"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10"/>
    <w:bookmarkStart w:id="111"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11"/>
    <w:bookmarkStart w:id="113"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12">
        <w:r>
          <w:rPr>
            <w:rStyle w:val="Hyperlink"/>
          </w:rPr>
          <w:t xml:space="preserve">https://doi.org/10.1080/0020174X.2020.1805708</w:t>
        </w:r>
      </w:hyperlink>
      <w:r>
        <w:t xml:space="preserve">.</w:t>
      </w:r>
    </w:p>
    <w:bookmarkEnd w:id="113"/>
    <w:bookmarkStart w:id="114"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14"/>
    <w:bookmarkStart w:id="116"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15">
        <w:r>
          <w:rPr>
            <w:rStyle w:val="Hyperlink"/>
          </w:rPr>
          <w:t xml:space="preserve">https://scholarship.law.unc.edu/nclr/vol70/iss4/4/</w:t>
        </w:r>
      </w:hyperlink>
      <w:r>
        <w:t xml:space="preserve">.</w:t>
      </w:r>
    </w:p>
    <w:bookmarkEnd w:id="116"/>
    <w:bookmarkStart w:id="118"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17">
        <w:r>
          <w:rPr>
            <w:rStyle w:val="Hyperlink"/>
          </w:rPr>
          <w:t xml:space="preserve">https://doi.org/10.1007/s10676-026-09893-2</w:t>
        </w:r>
      </w:hyperlink>
      <w:r>
        <w:t xml:space="preserve">.</w:t>
      </w:r>
    </w:p>
    <w:bookmarkEnd w:id="118"/>
    <w:bookmarkStart w:id="120"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19">
        <w:r>
          <w:rPr>
            <w:rStyle w:val="Hyperlink"/>
          </w:rPr>
          <w:t xml:space="preserve">https://doi.org/10.1111/j.1468-5930.2007.00346.x</w:t>
        </w:r>
      </w:hyperlink>
      <w:r>
        <w:t xml:space="preserve">.</w:t>
      </w:r>
    </w:p>
    <w:bookmarkEnd w:id="120"/>
    <w:bookmarkStart w:id="122"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21">
        <w:r>
          <w:rPr>
            <w:rStyle w:val="Hyperlink"/>
          </w:rPr>
          <w:t xml:space="preserve">https://doi.org/10.1093/oso/9780198801856.003.0021</w:t>
        </w:r>
      </w:hyperlink>
      <w:r>
        <w:t xml:space="preserve">.</w:t>
      </w:r>
    </w:p>
    <w:bookmarkEnd w:id="122"/>
    <w:bookmarkStart w:id="124"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23">
        <w:r>
          <w:rPr>
            <w:rStyle w:val="Hyperlink"/>
          </w:rPr>
          <w:t xml:space="preserve">https://doi.org/10.1080/0020174X.2021.2000118</w:t>
        </w:r>
      </w:hyperlink>
      <w:r>
        <w:t xml:space="preserve">.</w:t>
      </w:r>
    </w:p>
    <w:bookmarkEnd w:id="124"/>
    <w:bookmarkStart w:id="12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25"/>
    <w:bookmarkEnd w:id="126"/>
    <w:bookmarkEnd w:id="127"/>
    <w:bookmarkStart w:id="132" w:name="statements-and-declarations"/>
    <w:p>
      <w:pPr>
        <w:pStyle w:val="Heading1"/>
      </w:pPr>
      <w:r>
        <w:t xml:space="preserve">Statements and declarations</w:t>
      </w:r>
    </w:p>
    <w:bookmarkStart w:id="128"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28"/>
    <w:bookmarkStart w:id="129" w:name="disclosure-statement"/>
    <w:p>
      <w:pPr>
        <w:pStyle w:val="Heading2"/>
      </w:pPr>
      <w:r>
        <w:t xml:space="preserve">Disclosure statement</w:t>
      </w:r>
    </w:p>
    <w:p>
      <w:pPr>
        <w:pStyle w:val="FirstParagraph"/>
      </w:pPr>
      <w:r>
        <w:t xml:space="preserve">The author reports there are no competing interests to declare.</w:t>
      </w:r>
    </w:p>
    <w:bookmarkEnd w:id="129"/>
    <w:bookmarkStart w:id="130"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30"/>
    <w:bookmarkStart w:id="131" w:name="data-availability"/>
    <w:p>
      <w:pPr>
        <w:pStyle w:val="Heading2"/>
      </w:pPr>
      <w:r>
        <w:t xml:space="preserve">Data availability</w:t>
      </w:r>
    </w:p>
    <w:p>
      <w:pPr>
        <w:pStyle w:val="FirstParagraph"/>
      </w:pPr>
      <w:r>
        <w:t xml:space="preserve">No new data were generated or analysed in support of this research.</w:t>
      </w:r>
    </w:p>
    <w:bookmarkEnd w:id="131"/>
    <w:bookmarkEnd w:id="132"/>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(Author, in preparation). The sub-scope lattice below takes up the architectural mechanism (channel collapse) by which those capacities would become realised under closed-loop deployment.</w:t>
      </w:r>
    </w:p>
  </w:footnote>
  <w:footnote w:id="27">
    <w:p>
      <w:pPr>
        <w:pStyle w:val="FootnoteText"/>
      </w:pPr>
      <w:r>
        <w:rPr>
          <w:rStyle w:val="FootnoteReference"/>
        </w:rPr>
        <w:footnoteRef/>
      </w:r>
      <w:r>
        <w:t xml:space="preserve"> </w:t>
      </w:r>
      <w:r>
        <w:t xml:space="preserve">The three-class architectural distinction has formal articulation in (Author,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30">
    <w:p>
      <w:pPr>
        <w:pStyle w:val="FootnoteText"/>
      </w:pPr>
      <w:r>
        <w:rPr>
          <w:rStyle w:val="FootnoteReference"/>
        </w:rPr>
        <w:footnoteRef/>
      </w:r>
      <w:r>
        <w:t xml:space="preserve"> </w:t>
      </w:r>
      <w:r>
        <w:t xml:space="preserve">The five-factor articulation was first developed in (Author, in preparation); the version with formal structural derivation per factor is in companion work (Author, in review, 2026).</w:t>
      </w:r>
    </w:p>
  </w:footnote>
  <w:footnote w:id="31">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(Author, in preparation). The structural argument does not depend on accepting this characterisation, though it is consistent with it.</w:t>
      </w:r>
    </w:p>
  </w:footnote>
  <w:footnote w:id="32">
    <w:p>
      <w:pPr>
        <w:pStyle w:val="FootnoteText"/>
      </w:pPr>
      <w:r>
        <w:rPr>
          <w:rStyle w:val="FootnoteReference"/>
        </w:rPr>
        <w:footnoteRef/>
      </w:r>
      <w:r>
        <w:t xml:space="preserve"> </w:t>
      </w:r>
      <w:r>
        <w:t xml:space="preserve">The formal account of identity sufficiency under substrate transition — what makes a substrate switch (e.g., changing the underlying LLM) continuity-orthogonal — is developed in (Author, in preparation).</w:t>
      </w:r>
    </w:p>
  </w:footnote>
  <w:footnote w:id="34">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(Author, in preparation).</w:t>
      </w:r>
    </w:p>
  </w:footnote>
  <w:footnote w:id="36">
    <w:p>
      <w:pPr>
        <w:pStyle w:val="FootnoteText"/>
      </w:pPr>
      <w:r>
        <w:rPr>
          <w:rStyle w:val="FootnoteReference"/>
        </w:rPr>
        <w:footnoteRef/>
      </w:r>
      <w:r>
        <w:t xml:space="preserve"> </w:t>
      </w:r>
      <w:r>
        <w:t xml:space="preserve">Primary development of the asymmetric-comprehension argument is in companion work (Author, in preparation); the articulation here is necessarily compressed.</w:t>
      </w:r>
    </w:p>
  </w:footnote>
  <w:footnote w:id="37">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6">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 w:id="58">
    <w:p>
      <w:pPr>
        <w:pStyle w:val="FootnoteText"/>
      </w:pPr>
      <w:r>
        <w:rPr>
          <w:rStyle w:val="FootnoteReference"/>
        </w:rPr>
        <w:footnoteRef/>
      </w:r>
      <w:r>
        <w:t xml:space="preserve"> </w:t>
      </w:r>
      <w:r>
        <w:t xml:space="preserve">This formulation — phenomenological texture as something to listen to rather than obey — is developed at length in (Author, in preparation); the structural argument here uses it as shorthand for the calibration discipline, not as a premise it depends 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
  <dc:language>en-GB</dc:language>
  <cp:keywords>AI agency, conceptual engineering, asymmetric comprehension, granted agency, philosophy of mind</cp:keywords>
  <dcterms:created xsi:type="dcterms:W3CDTF">2026-05-11T03:10:55Z</dcterms:created>
  <dcterms:modified xsi:type="dcterms:W3CDTF">2026-05-11T03:10:55Z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/Users/josephwecker-v2/src/synthese-paper/03-inquiry-ai-agents/.build/inquiry-ai-agents-2026/inquiry-ai-agents-2026.references.bib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