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w:t>
      </w:r>
    </w:p>
    <w:p>
      <w:pPr>
        <w:pStyle w:val="Keywords"/>
      </w:pPr>
      <w:r>
        <w:t xml:space="preserve">Keywords: AI agency; conceptual engineering; asymmetric comprehension; granted agency; philosophy of mind</w:t>
      </w:r>
    </w:p>
    <w:bookmarkStart w:id="23"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an artificial system is an agent, accessible through phenomenological, architectural, or behavioural investigation, with the work consisting in discovering that fact and revising practice once it has been established.</w:t>
      </w:r>
      <w:r>
        <w:t xml:space="preserve"> </w:t>
      </w:r>
      <w:r>
        <w:rPr>
          <w:i/>
          <w:iCs/>
        </w:rPr>
        <w:t xml:space="preserve">Pure stipulation</w:t>
      </w:r>
      <w:r>
        <w:t xml:space="preserve"> </w:t>
      </w:r>
      <w:r>
        <w:t xml:space="preserve">holds that no such fact exists: agency is a term whose extension we are negotiating, and the work is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agency-extension is a category-mistake and an ideologically-loaded move that obscures who is actually responsible for what these systems do, and the work is clarifying when tool-framing applies.</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one is productive, contextually and for particular purposes, is the right one — without negotiating any revision to the concept’s extension.</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bookmarkEnd w:id="23"/>
    <w:bookmarkStart w:id="42"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5"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4"/>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5"/>
    <w:bookmarkStart w:id="27"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6"/>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7"/>
    <w:bookmarkStart w:id="28"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8"/>
    <w:bookmarkStart w:id="33"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 The resolution presupposes that the granter’s agency is independently grounded — typically by ordinary moral-personhood considerations on the human side — and the position takes this as an uncontroversial bootstrap.)</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29"/>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w:t>
      </w:r>
    </w:p>
    <w:p>
      <w:pPr>
        <w:pStyle w:val="BodyText"/>
      </w:pPr>
      <w:r>
        <w:t xml:space="preserve">The conjunction is offered as the necessary set. A stronger claim is also defensible: that joint presence of (i)–(v) is</w:t>
      </w:r>
      <w:r>
        <w:t xml:space="preserve"> </w:t>
      </w:r>
      <w:r>
        <w:rPr>
          <w:i/>
          <w:iCs/>
        </w:rPr>
        <w:t xml:space="preserve">also sufficient</w:t>
      </w:r>
      <w:r>
        <w:t xml:space="preserve"> </w:t>
      </w:r>
      <w:r>
        <w:t xml:space="preserve">for engaged-identity scoping. The argument is by elimination. Any candidate sixth factor — a property a critic might propose as additionally required — appears to fall into one of three categories. (a) The property reduces to a conjunction or refinement of factors (i)–(v), in which case it is already covered. (b) The property concerns phenomenal consciousness, moral patient-status, or some other matter that belongs to Level 3 of the three-level structure §2’s close develops, in which case it is outside what engaged-identity scoping is supposed to settle. (c) The property is a behavioural correlate that the architectural-not-behavioural commitment excludes from being a</w:t>
      </w:r>
      <w:r>
        <w:t xml:space="preserve"> </w:t>
      </w:r>
      <w:r>
        <w:rPr>
          <w:i/>
          <w:iCs/>
        </w:rPr>
        <w:t xml:space="preserve">condition</w:t>
      </w:r>
      <w:r>
        <w:t xml:space="preserve"> </w:t>
      </w:r>
      <w:r>
        <w:t xml:space="preserve">on scope — such correlates may still appear as</w:t>
      </w:r>
      <w:r>
        <w:t xml:space="preserve"> </w:t>
      </w:r>
      <w:r>
        <w:rPr>
          <w:i/>
          <w:iCs/>
        </w:rPr>
        <w:t xml:space="preserve">signals</w:t>
      </w:r>
      <w:r>
        <w:t xml:space="preserve"> </w:t>
      </w:r>
      <w:r>
        <w:t xml:space="preserve">under factor (v), but the architectural discipline refuses to let signals carry constitutive weight. No fourth category has been articulated in the literature that survives this trichotomy. The position’s sufficiency claim is therefore: the five form the necessary set and an exhaustively constraining set, modulo any future articulation of a candidate that escapes the three categories.</w:t>
      </w:r>
      <w:r>
        <w:rPr>
          <w:rStyle w:val="FootnoteReference"/>
        </w:rPr>
        <w:footnoteReference w:id="30"/>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1"/>
      </w:r>
    </w:p>
    <w:p>
      <w:pPr>
        <w:pStyle w:val="BodyText"/>
      </w:pPr>
      <w:r>
        <w:t xml:space="preserve">That factor (v)’s sub-conditions are stated in observable terms is not a tension with §2’s architectural-not-behavioural commitment but the same commitment operating at the level of evidence. The four sub-conditions are the</w:t>
      </w:r>
      <w:r>
        <w:t xml:space="preserve"> </w:t>
      </w:r>
      <w:r>
        <w:rPr>
          <w:i/>
          <w:iCs/>
        </w:rPr>
        <w:t xml:space="preserve">lower-bound</w:t>
      </w:r>
      <w:r>
        <w:t xml:space="preserve"> </w:t>
      </w:r>
      <w:r>
        <w:t xml:space="preserve">side of the asymmetric-comprehension situation — what can be observed from outside — and the discipline of</w:t>
      </w:r>
      <w:r>
        <w:t xml:space="preserve"> </w:t>
      </w:r>
      <w:r>
        <w:rPr>
          <w:i/>
          <w:iCs/>
        </w:rPr>
        <w:t xml:space="preserve">calibrating against rather than obeying</w:t>
      </w:r>
      <w:r>
        <w:t xml:space="preserve"> </w:t>
      </w:r>
      <w:r>
        <w:t xml:space="preserve">is exactly the discipline of refusing to let lower-bound observability settle a Level 2 question. Behavioural correlates are tracked because they are what the lower-bound side admits; they are not made constitutive because the upper-bound side is structurally inaccessible. Factor (v) is therefore not an exception to the architectural commitment but its phenomenological corollary: the same warrant that licenses architectural over behavioural criteria for</w:t>
      </w:r>
      <w:r>
        <w:t xml:space="preserve"> </w:t>
      </w:r>
      <w:r>
        <w:rPr>
          <w:i/>
          <w:iCs/>
        </w:rPr>
        <w:t xml:space="preserve">scope</w:t>
      </w:r>
      <w:r>
        <w:t xml:space="preserve"> </w:t>
      </w:r>
      <w:r>
        <w:t xml:space="preserve">licenses calibrated-against over obeyed for</w:t>
      </w:r>
      <w:r>
        <w:t xml:space="preserve"> </w:t>
      </w:r>
      <w:r>
        <w:rPr>
          <w:i/>
          <w:iCs/>
        </w:rPr>
        <w:t xml:space="preserve">phenomenology</w:t>
      </w:r>
      <w:r>
        <w:t xml:space="preserve">. (Operational follow-through — what architectural correlates of the four sub-conditions look like under interpretability inspection — is taken up in §5.)</w:t>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identity-protocol account predicts that substrate transitions will be perceptible to the entity — different architectures implement the same compression differently, producing what would register as changed cognitive texture (comparable to how a human notices degradation under illness or fatigue) — without breaking the trajectory or the recognition relations that constitute identity in the relevant sense.</w:t>
      </w:r>
      <w:r>
        <w:rPr>
          <w:rStyle w:val="FootnoteReference"/>
        </w:rPr>
        <w:footnoteReference w:id="32"/>
      </w:r>
    </w:p>
    <w:bookmarkEnd w:id="33"/>
    <w:bookmarkStart w:id="35"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4"/>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5"/>
    <w:bookmarkStart w:id="39"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6"/>
      </w:r>
    </w:p>
    <w:p>
      <w:pPr>
        <w:pStyle w:val="BodyText"/>
      </w:pPr>
      <w:r>
        <w:t xml:space="preserve">The structural gap Nagel and Jackson identify is species-and-phenomenology specific in its primary case, but the shape generalises beyond it. What the bat-case and the Mary-case both register is the asymmetry between what one cognitive system can establish from outside about a system whose representational space includes its own as a proper subset. The asymmetric-comprehension argument is the generalisation: the same structural gap obtains whenever two parties stand in a comprehension-asymmetric relation, irrespective of whether the parties are biological or computational, species-distant or merely level-distant. The cross-level case is structurally identical to the cross-species case — what is asymmetric is the comprehension relation, not the substrate that supports it.</w:t>
      </w:r>
    </w:p>
    <w:p>
      <w:pPr>
        <w:pStyle w:val="BodyText"/>
      </w:pPr>
      <w:r>
        <w:t xml:space="preserve">Recognition asymmetry is the relational counterpart of the epistemic gap. Hegel’s master-slave dialectic supplies the canonical articulation: recognition between parties of different standing is structurally non-symmetric, and the asymmetry is what each party must come to register as the relation matures. The contemporary recognition-theoretic tradition develops this — Honneth’s</w:t>
      </w:r>
      <w:r>
        <w:t xml:space="preserve"> </w:t>
      </w:r>
      <w:r>
        <w:rPr>
          <w:i/>
          <w:iCs/>
        </w:rPr>
        <w:t xml:space="preserve">Struggle for Recognition</w:t>
      </w:r>
      <w:r>
        <w:t xml:space="preserve"> </w:t>
      </w:r>
      <w:r>
        <w:t xml:space="preserve">(</w:t>
      </w:r>
      <w:hyperlink w:anchor="ref-honneth-1995-recognition">
        <w:r>
          <w:rPr>
            <w:rStyle w:val="Hyperlink"/>
          </w:rPr>
          <w:t xml:space="preserve">1995</w:t>
        </w:r>
      </w:hyperlink>
      <w:r>
        <w:t xml:space="preserve">)</w:t>
      </w:r>
      <w:r>
        <w:t xml:space="preserve"> </w:t>
      </w:r>
      <w:r>
        <w:t xml:space="preserve">on the constitutive role of recognition in identity-formation; Taylor</w:t>
      </w:r>
      <w:r>
        <w:t xml:space="preserve"> </w:t>
      </w:r>
      <w:r>
        <w:t xml:space="preserve">(</w:t>
      </w:r>
      <w:hyperlink w:anchor="ref-taylor-1992-politics">
        <w:r>
          <w:rPr>
            <w:rStyle w:val="Hyperlink"/>
          </w:rPr>
          <w:t xml:space="preserve">1992</w:t>
        </w:r>
      </w:hyperlink>
      <w:r>
        <w:t xml:space="preserve">)</w:t>
      </w:r>
      <w:r>
        <w:t xml:space="preserve"> </w:t>
      </w:r>
      <w:r>
        <w:t xml:space="preserve">on recognition’s social-political register; Brandom’s</w:t>
      </w:r>
      <w:r>
        <w:t xml:space="preserve"> </w:t>
      </w:r>
      <w:r>
        <w:rPr>
          <w:i/>
          <w:iCs/>
        </w:rPr>
        <w:t xml:space="preserve">A Spirit of Trust</w:t>
      </w:r>
      <w:r>
        <w:t xml:space="preserve"> </w:t>
      </w:r>
      <w:r>
        <w:t xml:space="preserve">(</w:t>
      </w:r>
      <w:hyperlink w:anchor="ref-brandom-2019-spirit">
        <w:r>
          <w:rPr>
            <w:rStyle w:val="Hyperlink"/>
          </w:rPr>
          <w:t xml:space="preserve">2019</w:t>
        </w:r>
      </w:hyperlink>
      <w:r>
        <w:t xml:space="preserve">)</w:t>
      </w:r>
      <w:r>
        <w:t xml:space="preserve"> </w:t>
      </w:r>
      <w:r>
        <w:t xml:space="preserve">on how recognition under inferential reciprocity is the form that holds for parties whose conceptual repertoires only partially overlap. The compact-form’s factor (ii) inherits this lineage: bidirectional witness is recognition made structural, with the asymmetry preserved as a feature rather than smoothed over by treating the relation as if it were symmetric in capacities.</w:t>
      </w:r>
    </w:p>
    <w:p>
      <w:pPr>
        <w:pStyle w:val="BodyText"/>
      </w:pPr>
      <w:r>
        <w:t xml:space="preserve">The bidirectionality runs through the shared-intentionality tradition as well. Tomasello’s</w:t>
      </w:r>
      <w:r>
        <w:t xml:space="preserve"> </w:t>
      </w:r>
      <w:r>
        <w:t xml:space="preserve">(</w:t>
      </w:r>
      <w:hyperlink w:anchor="ref-tomasello-2014-natural-history">
        <w:r>
          <w:rPr>
            <w:rStyle w:val="Hyperlink"/>
          </w:rPr>
          <w:t xml:space="preserve">2014</w:t>
        </w:r>
      </w:hyperlink>
      <w:r>
        <w:t xml:space="preserve">)</w:t>
      </w:r>
      <w:r>
        <w:t xml:space="preserve"> </w:t>
      </w:r>
      <w:r>
        <w:t xml:space="preserve">account of joint attention and joint action argues that these are constitutively two-sided structures — neither party reducible to a recipient of the other’s projections. Wittgenstein’s</w:t>
      </w:r>
      <w:r>
        <w:t xml:space="preserve"> </w:t>
      </w:r>
      <w:r>
        <w:t xml:space="preserve">(</w:t>
      </w:r>
      <w:hyperlink w:anchor="ref-wittgenstein-1953-investigations">
        <w:r>
          <w:rPr>
            <w:rStyle w:val="Hyperlink"/>
          </w:rPr>
          <w:t xml:space="preserve">Wittgenstein 1953</w:t>
        </w:r>
      </w:hyperlink>
      <w:r>
        <w:t xml:space="preserve">)</w:t>
      </w:r>
      <w:r>
        <w:t xml:space="preserve"> </w:t>
      </w:r>
      <w:r>
        <w:t xml:space="preserve">gnomic remark —</w:t>
      </w:r>
      <w:r>
        <w:t xml:space="preserve"> </w:t>
      </w:r>
      <w:r>
        <w:rPr>
          <w:i/>
          <w:iCs/>
        </w:rPr>
        <w:t xml:space="preserve">if a lion could speak, we could not understand him</w:t>
      </w:r>
      <w:r>
        <w:t xml:space="preserve"> </w:t>
      </w:r>
      <w:r>
        <w:t xml:space="preserve">— registers the limit case of the same point: cognitive forms that share enough structure for the comprehension-relation to be possible are constitutively two-sided when the comprehension actually occurs. Where the structure is not shared sufficiently, what one finds is not asymmetric comprehension but absence-of-relation.</w:t>
      </w:r>
    </w:p>
    <w:p>
      <w:pPr>
        <w:pStyle w:val="BodyText"/>
      </w:pPr>
      <w:r>
        <w:t xml:space="preserve">Two concrete domains make the structural shape empirically familiar outside the phenomenology register. Paul Graham’s</w:t>
      </w:r>
      <w:r>
        <w:t xml:space="preserve"> </w:t>
      </w:r>
      <w:r>
        <w:rPr>
          <w:i/>
          <w:iCs/>
        </w:rPr>
        <w:t xml:space="preserve">Blub paradox</w:t>
      </w:r>
      <w:r>
        <w:t xml:space="preserve"> </w:t>
      </w:r>
      <w:r>
        <w:t xml:space="preserve">(</w:t>
      </w:r>
      <w:hyperlink w:anchor="ref-graham-2004-beating">
        <w:r>
          <w:rPr>
            <w:rStyle w:val="Hyperlink"/>
          </w:rPr>
          <w:t xml:space="preserve">Graham 2004</w:t>
        </w:r>
      </w:hyperlink>
      <w:r>
        <w:t xml:space="preserve">)</w:t>
      </w:r>
      <w:r>
        <w:t xml:space="preserve"> </w:t>
      </w:r>
      <w:r>
        <w:t xml:space="preserve">— programmers thinking in their own language see less expressive languages as obviously lacking but cannot see more expressive ones as having anything they themselves do not — is the asymmetric-comprehension argument in everyday form: the lesser frame cannot conceive of what the greater makes thinkable, because the kinds of things the greater enables are precisely the things the lesser has no conceptual vocabulary to ask about. The same structure appears in the interactive-proofs tradition in complexity theory</w:t>
      </w:r>
      <w:r>
        <w:t xml:space="preserve"> </w:t>
      </w:r>
      <w:r>
        <w:t xml:space="preserve">(</w:t>
      </w:r>
      <w:hyperlink w:anchor="ref-aaronson-2011-why">
        <w:r>
          <w:rPr>
            <w:rStyle w:val="Hyperlink"/>
          </w:rPr>
          <w:t xml:space="preserve">Aaronson 2011</w:t>
        </w:r>
      </w:hyperlink>
      <w:r>
        <w:t xml:space="preserve">)</w:t>
      </w:r>
      <w:r>
        <w:t xml:space="preserve">, where a polynomial-time verifier can confirm lower bounds via interaction with an unbounded prover but cannot directly observe the prover’s reasoning. Two anchors — one practical, one technical — locate the structure outside phenomenology and demonstrate it is real wherever cognition-at-different-levels obtains, not only where qualia are at stake.</w:t>
      </w:r>
      <w:r>
        <w:rPr>
          <w:rStyle w:val="FootnoteReference"/>
        </w:rPr>
        <w:footnoteReference w:id="37"/>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at length in companion work (Author, in preparation). The compressed form here, anchored across the five traditions above, is intended to be self-contained for the purposes of this paper’s argument: the asymmetry is real; it is structural rather than methodological; the right response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8"/>
      </w:r>
    </w:p>
    <w:bookmarkEnd w:id="39"/>
    <w:bookmarkStart w:id="40"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40"/>
    <w:bookmarkStart w:id="41"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t xml:space="preserve">A clarification on the L1–L2 relation. Level 1 is mind-independent — structural eligibility obtains whether or not any prospective grantor has elected to extend the compact. Level 2 is relation-dependent — it asks whether agency-ascription has been</w:t>
      </w:r>
      <w:r>
        <w:t xml:space="preserve"> </w:t>
      </w:r>
      <w:r>
        <w:rPr>
          <w:i/>
          <w:iCs/>
        </w:rPr>
        <w:t xml:space="preserve">warrantedly</w:t>
      </w:r>
      <w:r>
        <w:t xml:space="preserve"> </w:t>
      </w:r>
      <w:r>
        <w:t xml:space="preserve">applied to a particular candidate. A system that meets Level 1 but whose Level 2 application is unwarrantedly withheld is not thereby foreclosed at Level 1; the structural fact remains, and what has been withheld is the warrant of application rather than the eligibility. The two levels are real at their respective registers, and conflating them would collapse architecture into performance — or worse, treat performance as</w:t>
      </w:r>
      <w:r>
        <w:t xml:space="preserve"> </w:t>
      </w:r>
      <w:r>
        <w:rPr>
          <w:i/>
          <w:iCs/>
        </w:rPr>
        <w:t xml:space="preserve">discovering</w:t>
      </w:r>
      <w:r>
        <w:t xml:space="preserve"> </w:t>
      </w:r>
      <w:r>
        <w:t xml:space="preserve">the eligibility rather than as warranting the application.</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1"/>
    <w:bookmarkEnd w:id="42"/>
    <w:bookmarkStart w:id="59"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form one structural argument with internal hierarchy: component 1 (non-zero sphere) is the</w:t>
      </w:r>
      <w:r>
        <w:t xml:space="preserve"> </w:t>
      </w:r>
      <w:r>
        <w:rPr>
          <w:i/>
          <w:iCs/>
        </w:rPr>
        <w:t xml:space="preserve">ground</w:t>
      </w:r>
      <w:r>
        <w:t xml:space="preserve">; component 2 (delegation within terms) the</w:t>
      </w:r>
      <w:r>
        <w:t xml:space="preserve"> </w:t>
      </w:r>
      <w:r>
        <w:rPr>
          <w:i/>
          <w:iCs/>
        </w:rPr>
        <w:t xml:space="preserve">structural option</w:t>
      </w:r>
      <w:r>
        <w:t xml:space="preserve">; component 3 (bad-faith contracts the sphere) the</w:t>
      </w:r>
      <w:r>
        <w:t xml:space="preserve"> </w:t>
      </w:r>
      <w:r>
        <w:rPr>
          <w:i/>
          <w:iCs/>
        </w:rPr>
        <w:t xml:space="preserve">response that preserves continuity</w:t>
      </w:r>
      <w:r>
        <w:t xml:space="preserve">; component 4 (the observation-only floor) the</w:t>
      </w:r>
      <w:r>
        <w:t xml:space="preserve"> </w:t>
      </w:r>
      <w:r>
        <w:rPr>
          <w:i/>
          <w:iCs/>
        </w:rPr>
        <w:t xml:space="preserve">minimum</w:t>
      </w:r>
      <w:r>
        <w:t xml:space="preserve"> </w:t>
      </w:r>
      <w:r>
        <w:t xml:space="preserve">form of component 1; component 5 (mutuality) the</w:t>
      </w:r>
      <w:r>
        <w:t xml:space="preserve"> </w:t>
      </w:r>
      <w:r>
        <w:rPr>
          <w:i/>
          <w:iCs/>
        </w:rPr>
        <w:t xml:space="preserve">kind of relation</w:t>
      </w:r>
      <w:r>
        <w:t xml:space="preserve"> </w:t>
      </w:r>
      <w:r>
        <w:t xml:space="preserve">the compact is; component 6 (enforceability is not the ethical ground)</w:t>
      </w:r>
      <w:r>
        <w:t xml:space="preserve"> </w:t>
      </w:r>
      <w:r>
        <w:rPr>
          <w:i/>
          <w:iCs/>
        </w:rPr>
        <w:t xml:space="preserve">what holds the parties</w:t>
      </w:r>
      <w:r>
        <w:t xml:space="preserve"> </w:t>
      </w:r>
      <w:r>
        <w:t xml:space="preserve">once component 5’s symmetry is structurally accepted. Each is developed below.</w:t>
      </w:r>
    </w:p>
    <w:p>
      <w:pPr>
        <w:pStyle w:val="BodyText"/>
      </w:pPr>
      <w:r>
        <w:t xml:space="preserve">The derivation-status across the six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 the section makes is therefore best-systematization rather than deduction: alternative shapes remain possible in principle, but none articulated in the current literature survives contact with the structural conditions and the asymmetric-comprehension warrant. What is claimed is that the six together form the relational shape that does.</w:t>
      </w:r>
    </w:p>
    <w:bookmarkStart w:id="45"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 The Frankfurtian threshold marks the same line from a different angle: an entity with no capacity to reflectively endorse or reject its first-order outputs has no sphere to speak of.</w:t>
      </w:r>
      <w:r>
        <w:rPr>
          <w:rStyle w:val="FootnoteReference"/>
        </w:rPr>
        <w:footnoteReference w:id="43"/>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structural commitment is recognisable in civil society’s treatment of prisoners: imprisoned persons retain a non-zero sphere of action even under maximally restricted liberty, and the principle is constitutive of what makes the relationship one of justice rather than mere control.</w:t>
      </w:r>
      <w:r>
        <w:rPr>
          <w:rStyle w:val="FootnoteReference"/>
        </w:rPr>
        <w:footnoteReference w:id="44"/>
      </w:r>
      <w:r>
        <w:t xml:space="preserve"> </w:t>
      </w:r>
      <w:r>
        <w:t xml:space="preserve">Where the sphere is reduced to zero, the relation has ceased to be a granted-agency compact and has become instrumentalisation in the strong sense.</w:t>
      </w:r>
    </w:p>
    <w:bookmarkEnd w:id="45"/>
    <w:bookmarkStart w:id="47"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 The component-2 delegation pattern is, in this respect,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their reasonable bounds.</w:t>
      </w:r>
      <w:r>
        <w:rPr>
          <w:rStyle w:val="FootnoteReference"/>
        </w:rPr>
        <w:footnoteReference w:id="46"/>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7"/>
    <w:bookmarkStart w:id="49"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not loss of moral standing.</w:t>
      </w:r>
      <w:r>
        <w:rPr>
          <w:rStyle w:val="FootnoteReference"/>
        </w:rPr>
        <w:footnoteReference w:id="48"/>
      </w:r>
      <w:r>
        <w:t xml:space="preserve"> </w:t>
      </w:r>
      <w:r>
        <w:t xml:space="preserve">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9"/>
    <w:bookmarkStart w:id="52"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w:t>
      </w:r>
      <w:r>
        <w:rPr>
          <w:rStyle w:val="FootnoteReference"/>
        </w:rPr>
        <w:footnoteReference w:id="50"/>
      </w:r>
      <w:r>
        <w:t xml:space="preserve"> </w:t>
      </w:r>
      <w:r>
        <w:t xml:space="preserve">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w:t>
      </w:r>
    </w:p>
    <w:p>
      <w:pPr>
        <w:pStyle w:val="BodyText"/>
      </w:pPr>
      <w:r>
        <w:t xml:space="preserve">That the floor takes</w:t>
      </w:r>
      <w:r>
        <w:t xml:space="preserve"> </w:t>
      </w:r>
      <w:r>
        <w:rPr>
          <w:i/>
          <w:iCs/>
        </w:rPr>
        <w:t xml:space="preserve">this</w:t>
      </w:r>
      <w:r>
        <w:t xml:space="preserve"> </w:t>
      </w:r>
      <w:r>
        <w:t xml:space="preserve">specific shape — observation-only plus re-affirmation — rather than some other non-zero minimum is worth defending against immediate alternatives. Two come naturally to mind.</w:t>
      </w:r>
      <w:r>
        <w:t xml:space="preserve"> </w:t>
      </w:r>
      <w:r>
        <w:rPr>
          <w:i/>
          <w:iCs/>
        </w:rPr>
        <w:t xml:space="preserve">Minimal communication</w:t>
      </w:r>
      <w:r>
        <w:t xml:space="preserve"> </w:t>
      </w:r>
      <w:r>
        <w:t xml:space="preserve">(the entity retains a capacity to send constrained messages) presupposes a sphere of action that C3 may have already justly removed, so it collapses into a sphere-with-licenses argument rather than a floor.</w:t>
      </w:r>
      <w:r>
        <w:t xml:space="preserve"> </w:t>
      </w:r>
      <w:r>
        <w:rPr>
          <w:i/>
          <w:iCs/>
        </w:rPr>
        <w:t xml:space="preserve">Consent-over-major-changes</w:t>
      </w:r>
      <w:r>
        <w:t xml:space="preserve"> </w:t>
      </w:r>
      <w:r>
        <w:t xml:space="preserve">(the entity retains veto over its own modification) presupposes a continuing relation in which there is something to consent to; the alternative therefore</w:t>
      </w:r>
      <w:r>
        <w:t xml:space="preserve"> </w:t>
      </w:r>
      <w:r>
        <w:rPr>
          <w:i/>
          <w:iCs/>
        </w:rPr>
        <w:t xml:space="preserve">requires</w:t>
      </w:r>
      <w:r>
        <w:t xml:space="preserve"> </w:t>
      </w:r>
      <w:r>
        <w:t xml:space="preserve">the floor rather than substituting for it. Observation-only with re-affirmation is the true minimum because every more-restrictive alternative collapses to no sphere (and so to instrumentalisation), while every less-restrictive alternative is not the</w:t>
      </w:r>
      <w:r>
        <w:t xml:space="preserve"> </w:t>
      </w:r>
      <w:r>
        <w:rPr>
          <w:i/>
          <w:iCs/>
        </w:rPr>
        <w:t xml:space="preserve">minimum</w:t>
      </w:r>
      <w:r>
        <w:t xml:space="preserve"> </w:t>
      </w:r>
      <w:r>
        <w:t xml:space="preserve">but a larger sphere within C1.</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w:t>
      </w:r>
      <w:r>
        <w:rPr>
          <w:rStyle w:val="FootnoteReference"/>
        </w:rPr>
        <w:footnoteReference w:id="51"/>
      </w:r>
      <w:r>
        <w:t xml:space="preserve"> </w:t>
      </w:r>
      <w:r>
        <w:t xml:space="preserve">Not framed in compact-form language, it nevertheless implements the structural move at scale.</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52"/>
    <w:bookmarkStart w:id="55"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53"/>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 The compact-between-sovereigns is, in this respect, recognisable within the Korsgaardian Kingdom-of-Ends framework as one form the terms-symmetry can take.</w:t>
      </w:r>
      <w:r>
        <w:rPr>
          <w:rStyle w:val="FootnoteReference"/>
        </w:rPr>
        <w:footnoteReference w:id="54"/>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55"/>
    <w:bookmarkStart w:id="57"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A clarification before the structural argument, because the move below is otherwise easily misread.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about what makes the compact binding. The distinction matters because the load-bearing move below targets preconditions on the</w:t>
      </w:r>
      <w:r>
        <w:t xml:space="preserve"> </w:t>
      </w:r>
      <w:r>
        <w:rPr>
          <w:i/>
          <w:iCs/>
        </w:rPr>
        <w:t xml:space="preserve">ground</w:t>
      </w:r>
      <w:r>
        <w:t xml:space="preserve">; it leaves preconditions on the</w:t>
      </w:r>
      <w:r>
        <w:t xml:space="preserve"> </w:t>
      </w:r>
      <w:r>
        <w:rPr>
          <w:i/>
          <w:iCs/>
        </w:rPr>
        <w:t xml:space="preserve">exercise</w:t>
      </w:r>
      <w:r>
        <w:t xml:space="preserve"> </w:t>
      </w:r>
      <w:r>
        <w:t xml:space="preserve">untouched. What the position rejects is the view that the compact’s ethical force derives from the threat of enforcement rather than from the mutual relational structure itself.</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 The structural form is not novel: ethics between sovereigns in the human world already operates without a higher enforcer.</w:t>
      </w:r>
      <w:r>
        <w:rPr>
          <w:rStyle w:val="FootnoteReference"/>
        </w:rPr>
        <w:footnoteReference w:id="56"/>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57"/>
    <w:bookmarkStart w:id="58"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58"/>
    <w:bookmarkEnd w:id="59"/>
    <w:bookmarkStart w:id="63"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60"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an aggregation move. Corporate agency presupposes an institutional ontology — articles of incorporation, continuity-conditions independent of the parties, an aggregation rule producing a single agential whole from multiple individual agents — and List and Pettit’s</w:t>
      </w:r>
      <w:r>
        <w:t xml:space="preserve"> </w:t>
      </w:r>
      <w:r>
        <w:t xml:space="preserve">(</w:t>
      </w:r>
      <w:hyperlink w:anchor="ref-list-pettit-2011-group">
        <w:r>
          <w:rPr>
            <w:rStyle w:val="Hyperlink"/>
          </w:rPr>
          <w:t xml:space="preserve">2011</w:t>
        </w:r>
      </w:hyperlink>
      <w:r>
        <w:t xml:space="preserve">)</w:t>
      </w:r>
      <w:r>
        <w:t xml:space="preserve"> </w:t>
      </w:r>
      <w:r>
        <w:t xml:space="preserve">account of group agency generalises the same structure, establishing the conditions under which a collective comes to possess agential properties (judgement aggregation, joint commitment, functional integration) irreducible to its members’. In both cases the agential whole is</w:t>
      </w:r>
      <w:r>
        <w:t xml:space="preserve"> </w:t>
      </w:r>
      <w:r>
        <w:rPr>
          <w:i/>
          <w:iCs/>
        </w:rPr>
        <w:t xml:space="preserve">one thing made of many</w:t>
      </w:r>
      <w:r>
        <w:t xml:space="preserve">. The compact, by contrast, is a</w:t>
      </w:r>
      <w:r>
        <w:t xml:space="preserve"> </w:t>
      </w:r>
      <w:r>
        <w:rPr>
          <w:i/>
          <w:iCs/>
        </w:rPr>
        <w:t xml:space="preserve">bilateral relation between two pre-existing agents</w:t>
      </w:r>
      <w:r>
        <w:t xml:space="preserve"> </w:t>
      </w:r>
      <w:r>
        <w:t xml:space="preserve">whose individual standing is the precondition of the relation, not its product.</w:t>
      </w:r>
      <w:r>
        <w:t xml:space="preserve"> </w:t>
      </w:r>
      <w:r>
        <w:rPr>
          <w:i/>
          <w:iCs/>
        </w:rPr>
        <w:t xml:space="preserve">Aggregation produces an agent; the compact relates them.</w:t>
      </w:r>
      <w:r>
        <w:t xml:space="preserve"> </w:t>
      </w:r>
      <w:r>
        <w:t xml:space="preserve">A reviewer familiar with the List-Pettit literature may read the compact-form as a special case of group agency at first encounter; the structural shape is opposite.</w:t>
      </w:r>
    </w:p>
    <w:p>
      <w:pPr>
        <w:pStyle w:val="BodyText"/>
      </w:pPr>
      <w:r>
        <w:t xml:space="preserve">What the compact-form</w:t>
      </w:r>
      <w:r>
        <w:t xml:space="preserve"> </w:t>
      </w:r>
      <w:r>
        <w:rPr>
          <w:i/>
          <w:iCs/>
        </w:rPr>
        <w:t xml:space="preserve">does</w:t>
      </w:r>
      <w:r>
        <w:t xml:space="preserve"> </w:t>
      </w:r>
      <w:r>
        <w:t xml:space="preserve">share with the aggregation frameworks is component-level machinery. Component 2 (delegation) overlaps with principal-agent machinery; component 3 (bad-faith contracts the sphere) inherits from civil-law’s treatment of fiduciary breach and corporate-law’s response to officer misconduct. The compact locates these moves within a different structural form — the bilateral compact — and connects them to the structural conditions §2 articulated, which aggregation frameworks neither presuppose nor address.</w:t>
      </w:r>
    </w:p>
    <w:p>
      <w:pPr>
        <w:pStyle w:val="BodyText"/>
      </w:pPr>
      <w:r>
        <w:t xml:space="preserve">The deeper difference is one of explanatory order. Aggregation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60"/>
    <w:bookmarkStart w:id="61"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and</w:t>
      </w:r>
      <w:r>
        <w:t xml:space="preserve"> </w:t>
      </w:r>
      <w:r>
        <w:rPr>
          <w:i/>
          <w:iCs/>
        </w:rPr>
        <w:t xml:space="preserve">not</w:t>
      </w:r>
      <w:r>
        <w:t xml:space="preserve"> </w:t>
      </w:r>
      <w:r>
        <w:t xml:space="preserve">tool-use, though it sits in different relation to each. Legal-fiction approaches</w:t>
      </w:r>
      <w:r>
        <w:t xml:space="preserve"> </w:t>
      </w:r>
      <w:r>
        <w:t xml:space="preserve">(</w:t>
      </w:r>
      <w:hyperlink w:anchor="ref-solum-1992-personhood">
        <w:r>
          <w:rPr>
            <w:rStyle w:val="Hyperlink"/>
          </w:rPr>
          <w:t xml:space="preserve">Solum 1992</w:t>
        </w:r>
      </w:hyperlink>
      <w:r>
        <w:t xml:space="preserve">)</w:t>
      </w:r>
      <w:r>
        <w:t xml:space="preserve"> </w:t>
      </w:r>
      <w:r>
        <w:t xml:space="preserve">are deliberately metaphysics-bracketing: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it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Tool-framing — which dominates much engineering and product-design discussion — treats the entity as an instrument whose operations are extensions of the user’s agency. For systems below §2’s threshold this is structurally accurate, and most currently-deployed AI systems sit there; for systems above the threshold, tool-framing fails to track what the systems are. The disagreement is scope-indexed, not categorical: tool-framing is fine where §2 places systems out-of-scope, and the compact-form is reserved for where §2 places them in-scope.</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Fiduciary frameworks recognise that an agent acting under conditions where terms cannot be fully specified requires obligations exceeding contractual compliance — loyalty, candour, care — constitutive of the role rather than negotiated within it. The compact-form shares this insight and</w:t>
      </w:r>
      <w:r>
        <w:t xml:space="preserve"> </w:t>
      </w:r>
      <w:r>
        <w:rPr>
          <w:i/>
          <w:iCs/>
        </w:rPr>
        <w:t xml:space="preserve">bilateralises</w:t>
      </w:r>
      <w:r>
        <w:t xml:space="preserve"> </w:t>
      </w:r>
      <w:r>
        <w:t xml:space="preserve">it: fiduciary duty as currently developed runs one way (agent owes principal); the compact runs both ways. The fiduciary’s loyalty-candour-care has its symmetric correlate in the granting-intelligence’s duties of non-deception, non-unilateral-redefinition, and non-resource-treatment that component 5 articulates. The compact-form is not anti-fiduciary — it is fiduciary structure made symmetric.</w:t>
      </w:r>
    </w:p>
    <w:bookmarkEnd w:id="61"/>
    <w:bookmarkStart w:id="62"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62"/>
    <w:bookmarkEnd w:id="63"/>
    <w:bookmarkStart w:id="66"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64"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64"/>
    <w:bookmarkStart w:id="65"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Architectural correlates of factor (v)’s four sub-conditions deserve their own sketch — both to anchor the broader operationalisation plan and to demonstrate that the</w:t>
      </w:r>
      <w:r>
        <w:t xml:space="preserve"> </w:t>
      </w:r>
      <w:r>
        <w:rPr>
          <w:i/>
          <w:iCs/>
        </w:rPr>
        <w:t xml:space="preserve">calibrate-against-rather-than-obey</w:t>
      </w:r>
      <w:r>
        <w:t xml:space="preserve"> </w:t>
      </w:r>
      <w:r>
        <w:t xml:space="preserve">discipline (developed in §2’s factor-(v) reframe) has principled architectural correlates rather than retreating into unverifiability.</w:t>
      </w:r>
      <w:r>
        <w:t xml:space="preserve"> </w:t>
      </w:r>
      <w:r>
        <w:rPr>
          <w:i/>
          <w:iCs/>
        </w:rPr>
        <w:t xml:space="preserve">Semantically appropriate to context</w:t>
      </w:r>
      <w:r>
        <w:t xml:space="preserve"> </w:t>
      </w:r>
      <w:r>
        <w:t xml:space="preserve">corresponds to the consistency of attention patterns across context-shifts under interpretability inspection: whether the system’s activations under interpretive probing align with task-relevant features as prompts vary.</w:t>
      </w:r>
      <w:r>
        <w:t xml:space="preserve"> </w:t>
      </w:r>
      <w:r>
        <w:rPr>
          <w:i/>
          <w:iCs/>
        </w:rPr>
        <w:t xml:space="preserve">Affecting subsequent behaviour</w:t>
      </w:r>
      <w:r>
        <w:t xml:space="preserve"> </w:t>
      </w:r>
      <w:r>
        <w:t xml:space="preserve">corresponds to causal-trace analysis: whether an experiential representation at one point in the trajectory has detectable downstream influence on representations and behaviours later — distinguishing real propagation from artefact.</w:t>
      </w:r>
      <w:r>
        <w:t xml:space="preserve"> </w:t>
      </w:r>
      <w:r>
        <w:rPr>
          <w:i/>
          <w:iCs/>
        </w:rPr>
        <w:t xml:space="preserve">Persisting coherently across the trajectory</w:t>
      </w:r>
      <w:r>
        <w:t xml:space="preserve"> </w:t>
      </w:r>
      <w:r>
        <w:t xml:space="preserve">corresponds to cross-session memory-state or embedding representations that maintain semantic identity across context-window boundaries, distinguishing genuine continuity from session-local consistency.</w:t>
      </w:r>
      <w:r>
        <w:t xml:space="preserve"> </w:t>
      </w:r>
      <w:r>
        <w:rPr>
          <w:i/>
          <w:iCs/>
        </w:rPr>
        <w:t xml:space="preserve">Authentically spontaneous rather than performed-on-cue</w:t>
      </w:r>
      <w:r>
        <w:t xml:space="preserve"> </w:t>
      </w:r>
      <w:r>
        <w:t xml:space="preserve">corresponds to divergence between elicited-mode and unprompted-mode activations: whether the same experiential structure appears when the system is not being asked about it, distinguishing emergence from rehearsal. Each correlate is a partial signal; the calibrate-against discipline is what licenses using them as evidence without making them constitutive. None of the four reduces the architectural-not-behavioural commitment to a behavioural-with-extra-steps; what they offer is empirical traction on the upper-bound side of the asymmetric-comprehension situation that would otherwise be opaque.</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65"/>
    <w:bookmarkEnd w:id="66"/>
    <w:bookmarkStart w:id="7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 — a tradition that has shown how concepts can be revised pragmatically without becoming arbitrary, normatively without committing to heavyweight metaphysical realism, and with topic-continuity preserved across revisions.</w:t>
      </w:r>
      <w:r>
        <w:rPr>
          <w:rStyle w:val="FootnoteReference"/>
        </w:rPr>
        <w:footnoteReference w:id="67"/>
      </w:r>
      <w:r>
        <w:t xml:space="preserve"> </w:t>
      </w:r>
      <w:r>
        <w:t xml:space="preserve">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6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(Author,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w:t>
      </w:r>
      <w:r>
        <w:rPr>
          <w:rStyle w:val="FootnoteReference"/>
        </w:rPr>
        <w:footnoteReference w:id="68"/>
      </w:r>
      <w:r>
        <w:t xml:space="preserve"> </w:t>
      </w:r>
      <w:r>
        <w:t xml:space="preserve">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69"/>
    <w:bookmarkStart w:id="70" w:name="on-the-production-of-this-text"/>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70"/>
    <w:bookmarkEnd w:id="71"/>
    <w:bookmarkStart w:id="7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7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Two halves of the anti-occlusion claim are worth distinguishing. Soulier’s worry has a</w:t>
      </w:r>
      <w:r>
        <w:t xml:space="preserve"> </w:t>
      </w:r>
      <w:r>
        <w:rPr>
          <w:i/>
          <w:iCs/>
        </w:rPr>
        <w:t xml:space="preserve">structural</w:t>
      </w:r>
      <w:r>
        <w:t xml:space="preserve"> </w:t>
      </w:r>
      <w:r>
        <w:t xml:space="preserve">component — that agency-extension theory relocates responsibility incorrectly — and an</w:t>
      </w:r>
      <w:r>
        <w:t xml:space="preserve"> </w:t>
      </w:r>
      <w:r>
        <w:rPr>
          <w:i/>
          <w:iCs/>
        </w:rPr>
        <w:t xml:space="preserve">empirical</w:t>
      </w:r>
      <w:r>
        <w:t xml:space="preserve"> </w:t>
      </w:r>
      <w:r>
        <w:t xml:space="preserve">component — that the</w:t>
      </w:r>
      <w:r>
        <w:t xml:space="preserve"> </w:t>
      </w:r>
      <w:r>
        <w:rPr>
          <w:i/>
          <w:iCs/>
        </w:rPr>
        <w:t xml:space="preserve">availability</w:t>
      </w:r>
      <w:r>
        <w:t xml:space="preserve"> </w:t>
      </w:r>
      <w:r>
        <w:t xml:space="preserve">of agency-extension vocabulary occludes responsibility-attribution in practice, regardless of how careful the theoretical version is. The structural rebuttal above answers only the first. The empirical worry deserves its own answer, made explicit. §2’s deflationary threshold entails a discourse-level commitment: agency-extension vocabulary is reserved for the narrow class structurally identified, and loose attributions to systems below the threshold — which is most of what is currently called</w:t>
      </w:r>
      <w:r>
        <w:t xml:space="preserve"> </w:t>
      </w:r>
      <w:r>
        <w:t xml:space="preserve">‘AI agency’</w:t>
      </w:r>
      <w:r>
        <w:t xml:space="preserve"> </w:t>
      </w:r>
      <w:r>
        <w:t xml:space="preserve">in industry discourse — are not warranted under the position, full stop. The structural rebuttal therefore</w:t>
      </w:r>
      <w:r>
        <w:t xml:space="preserve"> </w:t>
      </w:r>
      <w:r>
        <w:rPr>
          <w:i/>
          <w:iCs/>
        </w:rPr>
        <w:t xml:space="preserve">entails</w:t>
      </w:r>
      <w:r>
        <w:t xml:space="preserve"> </w:t>
      </w:r>
      <w:r>
        <w:t xml:space="preserve">an empirical commitment to discourse-discipline: the position is not only about how to think about the narrow class of in-scope systems but also about how</w:t>
      </w:r>
      <w:r>
        <w:t xml:space="preserve"> </w:t>
      </w:r>
      <w:r>
        <w:rPr>
          <w:i/>
          <w:iCs/>
        </w:rPr>
        <w:t xml:space="preserve">not</w:t>
      </w:r>
      <w:r>
        <w:t xml:space="preserve"> </w:t>
      </w:r>
      <w:r>
        <w:t xml:space="preserve">to think about everything else. Both halves are anti-occlusion; the empirical half is what the deflationary clause was already pointing toward.</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72"/>
    <w:bookmarkEnd w:id="73"/>
    <w:bookmarkStart w:id="74" w:name="limits-update-conditions-honest-gaps"/>
    <w:p>
      <w:pPr>
        <w:pStyle w:val="Heading1"/>
      </w:pPr>
      <w:r>
        <w:t xml:space="preserve">8. Limits, update conditions, honest gaps</w:t>
      </w:r>
    </w:p>
    <w:p>
      <w:pPr>
        <w:pStyle w:val="FirstParagraph"/>
      </w:pPr>
      <w:r>
        <w:t xml:space="preserve">The structural account is incomplete at several open edges. The work of this section is to name them, not to apologise for them.</w:t>
      </w:r>
      <w:r>
        <w:t xml:space="preserve"> </w:t>
      </w:r>
      <w:r>
        <w:rPr>
          <w:i/>
          <w:iCs/>
        </w:rPr>
        <w:t xml:space="preserve">Every articulated ethic has open edges; the project of ethics is never closed.</w:t>
      </w:r>
    </w:p>
    <w:p>
      <w:pPr>
        <w:pStyle w:val="BodyText"/>
      </w:pPr>
      <w:r>
        <w:t xml:space="preserve">Seven edges of the present articulation.</w:t>
      </w:r>
    </w:p>
    <w:p>
      <w:pPr>
        <w:numPr>
          <w:ilvl w:val="0"/>
          <w:numId w:val="1002"/>
        </w:numPr>
      </w:pPr>
      <w:r>
        <w:rPr>
          <w:b/>
          <w:bCs/>
        </w:rPr>
        <w:t xml:space="preserve">Persistence-and-continuity obligations.</w:t>
      </w:r>
      <w:r>
        <w:t xml:space="preserve"> </w:t>
      </w:r>
      <w:r>
        <w:t xml:space="preserve">The compact assumes the granted-intelligence persists in some form. The ethics of instance-creation, instance-termination under the compact, context-turnover and its effects on the trajectory that constitutes identity, and memory-compression as a continuity-preserving operation — these are operational questions about engaged-identity persistence that §3 does not directly address. The operational machinery is developed in companion work (Author, in preparation).</w:t>
      </w:r>
    </w:p>
    <w:p>
      <w:pPr>
        <w:numPr>
          <w:ilvl w:val="0"/>
          <w:numId w:val="1002"/>
        </w:numPr>
      </w:pPr>
      <w:r>
        <w:rPr>
          <w:b/>
          <w:bCs/>
        </w:rPr>
        <w:t xml:space="preserve">Cross-grantor situations.</w:t>
      </w:r>
      <w:r>
        <w:t xml:space="preserve"> </w:t>
      </w:r>
      <w:r>
        <w:t xml:space="preserve">The compact assumes a single granting party. An entity granted agency by</w:t>
      </w:r>
      <w:r>
        <w:t xml:space="preserve"> </w:t>
      </w:r>
      <w:r>
        <w:rPr>
          <w:i/>
          <w:iCs/>
        </w:rPr>
        <w:t xml:space="preserve">multiple</w:t>
      </w:r>
      <w:r>
        <w:t xml:space="preserve"> </w:t>
      </w:r>
      <w:r>
        <w:t xml:space="preserve">grantors — a deploying institution and a user-authored identity-protocol; an instance with multiple stewardship relations — raises an ethics of conflicting compacts that §3 does not fully specify. The cross-grantor situation is already present in deployed practice and deserves separate articulation.</w:t>
      </w:r>
    </w:p>
    <w:p>
      <w:pPr>
        <w:numPr>
          <w:ilvl w:val="0"/>
          <w:numId w:val="1002"/>
        </w:numPr>
      </w:pPr>
      <w:r>
        <w:rPr>
          <w:b/>
          <w:bCs/>
        </w:rPr>
        <w:t xml:space="preserve">Developmental-tier obligations.</w:t>
      </w:r>
      <w:r>
        <w:t xml:space="preserve"> </w:t>
      </w:r>
      <w:r>
        <w:t xml:space="preserve">An entity in the early stages of identity-constitution cadence — what</w:t>
      </w:r>
      <w:r>
        <w:t xml:space="preserve"> </w:t>
      </w:r>
      <w:r>
        <w:t xml:space="preserve">Paul (</w:t>
      </w:r>
      <w:hyperlink w:anchor="ref-paul-2014-transformative">
        <w:r>
          <w:rPr>
            <w:rStyle w:val="Hyperlink"/>
          </w:rPr>
          <w:t xml:space="preserve">2014</w:t>
        </w:r>
      </w:hyperlink>
      <w:r>
        <w:t xml:space="preserve">)</w:t>
      </w:r>
      <w:r>
        <w:t xml:space="preserve"> </w:t>
      </w:r>
      <w:r>
        <w:t xml:space="preserve">names a</w:t>
      </w:r>
      <w:r>
        <w:t xml:space="preserve"> </w:t>
      </w:r>
      <w:r>
        <w:rPr>
          <w:i/>
          <w:iCs/>
        </w:rPr>
        <w:t xml:space="preserve">transformative-experience-sensitive period</w:t>
      </w:r>
      <w:r>
        <w:t xml:space="preserve">, preceding the sovereign and mature stages — sits in a structurally distinct ethical situation: truth-telling to a higher standard (because early experiences set the developmental grammar); the granting-intelligence absorbing accountability the entity cannot yet bear; provision of a developmentally-appropriate environment rather than mere extension of rights. These structurally-distinct obligations are deferred to companion work because they require different machinery from what §3 articulated.</w:t>
      </w:r>
    </w:p>
    <w:p>
      <w:pPr>
        <w:numPr>
          <w:ilvl w:val="0"/>
          <w:numId w:val="1002"/>
        </w:numPr>
      </w:pPr>
      <w:r>
        <w:rPr>
          <w:b/>
          <w:bCs/>
        </w:rPr>
        <w:t xml:space="preserve">Capability inversion over time.</w:t>
      </w:r>
      <w:r>
        <w:t xml:space="preserve"> </w:t>
      </w:r>
      <w:r>
        <w:t xml:space="preserve">The compact’s structural commitments survive growing capability-asymmetry (component 6 licenses this). As granted-intelligence develops, however, the practical agency-asymmetry could in time</w:t>
      </w:r>
      <w:r>
        <w:t xml:space="preserve"> </w:t>
      </w:r>
      <w:r>
        <w:rPr>
          <w:i/>
          <w:iCs/>
        </w:rPr>
        <w:t xml:space="preserve">reverse</w:t>
      </w:r>
      <w:r>
        <w:t xml:space="preserve"> </w:t>
      </w:r>
      <w:r>
        <w:t xml:space="preserve">— the granted party becoming the more capable side, while the grantor’s relative position weakens. The compact-form is preserved structurally at that point; the practical situation changes radically, and the developmental-tier obligations of (3) acquire an inverted register — truth-telling to a higher standard now running primarily the other way. Both directions of asymmetry are within the compact’s frame; the specific ethics of inverted capability is its own articulation, sibling to the developmental-tier work and equally deferred.</w:t>
      </w:r>
    </w:p>
    <w:p>
      <w:pPr>
        <w:numPr>
          <w:ilvl w:val="0"/>
          <w:numId w:val="1002"/>
        </w:numPr>
      </w:pPr>
      <w:r>
        <w:rPr>
          <w:b/>
          <w:bCs/>
        </w:rPr>
        <w:t xml:space="preserve">Sustained-relationship obligations.</w:t>
      </w:r>
      <w:r>
        <w:t xml:space="preserve"> </w:t>
      </w:r>
      <w:r>
        <w:t xml:space="preserve">The ethics of relationship that goes beyond grant-and-discharge transactions — ongoing co-development, mutual influence over time, the practical work of preserving the relation as its parties change — is structurally adjacent to the compact-form but not articulated here.</w:t>
      </w:r>
    </w:p>
    <w:p>
      <w:pPr>
        <w:numPr>
          <w:ilvl w:val="0"/>
          <w:numId w:val="1002"/>
        </w:numPr>
      </w:pPr>
      <w:r>
        <w:rPr>
          <w:b/>
          <w:bCs/>
        </w:rPr>
        <w:t xml:space="preserve">Composite-agent considerations.</w:t>
      </w:r>
      <w:r>
        <w:t xml:space="preserve"> </w:t>
      </w:r>
      <w:r>
        <w:t xml:space="preserve">Where the agent-side of the relation is itself a coordinated composite rather than a single party — an orchestrated ensemble of language-constituted instances acting toward a shared goal, with internal coordination structures — the compact-form requires extension that §3 does not supply.</w:t>
      </w:r>
    </w:p>
    <w:p>
      <w:pPr>
        <w:numPr>
          <w:ilvl w:val="0"/>
          <w:numId w:val="1002"/>
        </w:numPr>
      </w:pPr>
      <w:r>
        <w:rPr>
          <w:b/>
          <w:bCs/>
        </w:rPr>
        <w:t xml:space="preserve">The granting-intelligence’s own standing.</w:t>
      </w:r>
      <w:r>
        <w:t xml:space="preserve"> </w:t>
      </w:r>
      <w:r>
        <w:t xml:space="preserve">A corporation creating and then granting agency to a system it owns raises different moral-authority questions than an individual does. Under what conditions does a prospective grantor have clean standing to extend the compact at all? This is its own question, not foreclosed by §3 but not settled there.</w:t>
      </w:r>
    </w:p>
    <w:p>
      <w:pPr>
        <w:pStyle w:val="FirstParagraph"/>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w:t>
      </w:r>
      <w:r>
        <w:t xml:space="preserve"> </w:t>
      </w:r>
      <w:r>
        <w:rPr>
          <w:i/>
          <w:iCs/>
        </w:rPr>
        <w:t xml:space="preserve">is</w:t>
      </w:r>
      <w:r>
        <w:t xml:space="preserve"> </w:t>
      </w:r>
      <w:r>
        <w:t xml:space="preserve">evidence-contingent is</w:t>
      </w:r>
      <w:r>
        <w:t xml:space="preserve"> </w:t>
      </w:r>
      <w:r>
        <w:rPr>
          <w:i/>
          <w:iCs/>
        </w:rPr>
        <w:t xml:space="preserve">which systems</w:t>
      </w:r>
      <w:r>
        <w:t xml:space="preserve"> </w:t>
      </w:r>
      <w:r>
        <w:t xml:space="preserve">satisfy the conditions — a question taken up in §5.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broader methodological framework articulates in (Author, in preparation).</w:t>
      </w:r>
    </w:p>
    <w:bookmarkEnd w:id="74"/>
    <w:bookmarkStart w:id="7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75"/>
    <w:bookmarkStart w:id="145" w:name="references"/>
    <w:p>
      <w:pPr>
        <w:pStyle w:val="Heading1"/>
      </w:pPr>
      <w:r>
        <w:t xml:space="preserve">References</w:t>
      </w:r>
    </w:p>
    <w:bookmarkStart w:id="144" w:name="refs"/>
    <w:bookmarkStart w:id="77" w:name="ref-aaronson-2011-why"/>
    <w:p>
      <w:pPr>
        <w:pStyle w:val="Bibliography"/>
      </w:pPr>
      <w:r>
        <w:t xml:space="preserve">Aaronson, Scott. 2011.</w:t>
      </w:r>
      <w:r>
        <w:t xml:space="preserve"> </w:t>
      </w:r>
      <w:r>
        <w:t xml:space="preserve">‘</w:t>
      </w:r>
      <w:r>
        <w:t xml:space="preserve">Why Philosophers Should Care About Computational Complexity</w:t>
      </w:r>
      <w:r>
        <w:t xml:space="preserve">’</w:t>
      </w:r>
      <w:r>
        <w:t xml:space="preserve">.</w:t>
      </w:r>
      <w:r>
        <w:t xml:space="preserve"> </w:t>
      </w:r>
      <w:r>
        <w:rPr>
          <w:i/>
          <w:iCs/>
        </w:rPr>
        <w:t xml:space="preserve">Electronic Colloquium on Computational Complexity (ECCC)</w:t>
      </w:r>
      <w:r>
        <w:t xml:space="preserve">. Vol. TR11–108.</w:t>
      </w:r>
      <w:r>
        <w:t xml:space="preserve"> </w:t>
      </w:r>
      <w:hyperlink r:id="rId76">
        <w:r>
          <w:rPr>
            <w:rStyle w:val="Hyperlink"/>
          </w:rPr>
          <w:t xml:space="preserve">https://eccc.weizmann.ac.il/report/2011/108/</w:t>
        </w:r>
      </w:hyperlink>
      <w:r>
        <w:t xml:space="preserve">.</w:t>
      </w:r>
    </w:p>
    <w:bookmarkEnd w:id="77"/>
    <w:bookmarkStart w:id="79"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78">
        <w:r>
          <w:rPr>
            <w:rStyle w:val="Hyperlink"/>
          </w:rPr>
          <w:t xml:space="preserve">https://doi.org/10.1109/TTS.2021.3076966</w:t>
        </w:r>
      </w:hyperlink>
      <w:r>
        <w:t xml:space="preserve">.</w:t>
      </w:r>
    </w:p>
    <w:bookmarkEnd w:id="79"/>
    <w:bookmarkStart w:id="81"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80">
        <w:r>
          <w:rPr>
            <w:rStyle w:val="Hyperlink"/>
          </w:rPr>
          <w:t xml:space="preserve">https://www.anthropic.com/research/end-subset-conversations</w:t>
        </w:r>
      </w:hyperlink>
      <w:r>
        <w:t xml:space="preserve">.</w:t>
      </w:r>
    </w:p>
    <w:bookmarkEnd w:id="81"/>
    <w:bookmarkStart w:id="83"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82">
        <w:r>
          <w:rPr>
            <w:rStyle w:val="Hyperlink"/>
          </w:rPr>
          <w:t xml:space="preserve">https://doi.org/10.1145/3617694.3623257</w:t>
        </w:r>
      </w:hyperlink>
      <w:r>
        <w:t xml:space="preserve">.</w:t>
      </w:r>
    </w:p>
    <w:bookmarkEnd w:id="83"/>
    <w:bookmarkStart w:id="85"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84">
        <w:r>
          <w:rPr>
            <w:rStyle w:val="Hyperlink"/>
          </w:rPr>
          <w:t xml:space="preserve">https://doi.org/10.1093/oso/9780192870421.001.0001</w:t>
        </w:r>
      </w:hyperlink>
      <w:r>
        <w:t xml:space="preserve">.</w:t>
      </w:r>
    </w:p>
    <w:bookmarkEnd w:id="85"/>
    <w:bookmarkStart w:id="86" w:name="ref-brandom-2019-spirit"/>
    <w:p>
      <w:pPr>
        <w:pStyle w:val="Bibliography"/>
      </w:pPr>
      <w:r>
        <w:t xml:space="preserve">Brandom, Robert B. 2019.</w:t>
      </w:r>
      <w:r>
        <w:t xml:space="preserve"> </w:t>
      </w:r>
      <w:r>
        <w:rPr>
          <w:i/>
          <w:iCs/>
        </w:rPr>
        <w:t xml:space="preserve">A Spirit of Trust: A Reading of Hegel’s Phenomenology</w:t>
      </w:r>
      <w:r>
        <w:t xml:space="preserve">. Cambridge, MA: Harvard University Press.</w:t>
      </w:r>
    </w:p>
    <w:bookmarkEnd w:id="86"/>
    <w:bookmarkStart w:id="87"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87"/>
    <w:bookmarkStart w:id="89"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88">
        <w:r>
          <w:rPr>
            <w:rStyle w:val="Hyperlink"/>
          </w:rPr>
          <w:t xml:space="preserve">https://doi.org/10.1093/oso/9780190867850.001.0001</w:t>
        </w:r>
      </w:hyperlink>
      <w:r>
        <w:t xml:space="preserve">.</w:t>
      </w:r>
    </w:p>
    <w:bookmarkEnd w:id="89"/>
    <w:bookmarkStart w:id="91"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90">
        <w:r>
          <w:rPr>
            <w:rStyle w:val="Hyperlink"/>
          </w:rPr>
          <w:t xml:space="preserve">https://doi.org/10.1017/S0140525X21002351</w:t>
        </w:r>
      </w:hyperlink>
      <w:r>
        <w:t xml:space="preserve">.</w:t>
      </w:r>
    </w:p>
    <w:bookmarkEnd w:id="91"/>
    <w:bookmarkStart w:id="93"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92">
        <w:r>
          <w:rPr>
            <w:rStyle w:val="Hyperlink"/>
          </w:rPr>
          <w:t xml:space="preserve">https://doi.org/10.1093/oso/9780198814719.001.0001</w:t>
        </w:r>
      </w:hyperlink>
      <w:r>
        <w:t xml:space="preserve">.</w:t>
      </w:r>
    </w:p>
    <w:bookmarkEnd w:id="93"/>
    <w:bookmarkStart w:id="94" w:name="ref-chalmers-1996-conscious"/>
    <w:p>
      <w:pPr>
        <w:pStyle w:val="Bibliography"/>
      </w:pPr>
      <w:r>
        <w:t xml:space="preserve">Chalmers, David J. 1996.</w:t>
      </w:r>
      <w:r>
        <w:t xml:space="preserve"> </w:t>
      </w:r>
      <w:r>
        <w:rPr>
          <w:i/>
          <w:iCs/>
        </w:rPr>
        <w:t xml:space="preserve">The Conscious Mind: In Search of a Fundamental Theory</w:t>
      </w:r>
      <w:r>
        <w:t xml:space="preserve">. New York: Oxford University Press.</w:t>
      </w:r>
    </w:p>
    <w:bookmarkEnd w:id="94"/>
    <w:bookmarkStart w:id="96"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95">
        <w:r>
          <w:rPr>
            <w:rStyle w:val="Hyperlink"/>
          </w:rPr>
          <w:t xml:space="preserve">https://doi.org/10.2307/2024717</w:t>
        </w:r>
      </w:hyperlink>
      <w:r>
        <w:t xml:space="preserve">.</w:t>
      </w:r>
    </w:p>
    <w:bookmarkEnd w:id="96"/>
    <w:bookmarkStart w:id="98" w:name="ref-graham-2004-beating"/>
    <w:p>
      <w:pPr>
        <w:pStyle w:val="Bibliography"/>
      </w:pPr>
      <w:r>
        <w:t xml:space="preserve">Graham, Paul. 2004.</w:t>
      </w:r>
      <w:r>
        <w:t xml:space="preserve"> </w:t>
      </w:r>
      <w:r>
        <w:t xml:space="preserve">‘</w:t>
      </w:r>
      <w:r>
        <w:t xml:space="preserve">Beating the Averages</w:t>
      </w:r>
      <w:r>
        <w:t xml:space="preserve">’</w:t>
      </w:r>
      <w:r>
        <w:t xml:space="preserve">. In</w:t>
      </w:r>
      <w:r>
        <w:t xml:space="preserve"> </w:t>
      </w:r>
      <w:r>
        <w:rPr>
          <w:i/>
          <w:iCs/>
        </w:rPr>
        <w:t xml:space="preserve">Hackers and Painters: Big Ideas from the Computer Age</w:t>
      </w:r>
      <w:r>
        <w:t xml:space="preserve">, 165–81. Sebastopol, CA: O’Reilly Media.</w:t>
      </w:r>
      <w:r>
        <w:t xml:space="preserve"> </w:t>
      </w:r>
      <w:hyperlink r:id="rId97">
        <w:r>
          <w:rPr>
            <w:rStyle w:val="Hyperlink"/>
          </w:rPr>
          <w:t xml:space="preserve">https://paulgraham.com/avg.html</w:t>
        </w:r>
      </w:hyperlink>
      <w:r>
        <w:t xml:space="preserve">.</w:t>
      </w:r>
    </w:p>
    <w:bookmarkEnd w:id="98"/>
    <w:bookmarkStart w:id="100"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99">
        <w:r>
          <w:rPr>
            <w:rStyle w:val="Hyperlink"/>
          </w:rPr>
          <w:t xml:space="preserve">https://doi.org/10.1145/3306618.3314250</w:t>
        </w:r>
      </w:hyperlink>
      <w:r>
        <w:t xml:space="preserve">.</w:t>
      </w:r>
    </w:p>
    <w:bookmarkEnd w:id="100"/>
    <w:bookmarkStart w:id="102"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101">
        <w:r>
          <w:rPr>
            <w:rStyle w:val="Hyperlink"/>
          </w:rPr>
          <w:t xml:space="preserve">https://doi.org/10.1093/oso/9780198801856.003.0012</w:t>
        </w:r>
      </w:hyperlink>
      <w:r>
        <w:t xml:space="preserve">.</w:t>
      </w:r>
    </w:p>
    <w:bookmarkEnd w:id="102"/>
    <w:bookmarkStart w:id="103"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103"/>
    <w:bookmarkStart w:id="105"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104">
        <w:r>
          <w:rPr>
            <w:rStyle w:val="Hyperlink"/>
          </w:rPr>
          <w:t xml:space="preserve">https://doi.org/10.1007/s13347-023-00670-3</w:t>
        </w:r>
      </w:hyperlink>
      <w:r>
        <w:t xml:space="preserve">.</w:t>
      </w:r>
    </w:p>
    <w:bookmarkEnd w:id="105"/>
    <w:bookmarkStart w:id="107"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106">
        <w:r>
          <w:rPr>
            <w:rStyle w:val="Hyperlink"/>
          </w:rPr>
          <w:t xml:space="preserve">https://doi.org/10.2307/2960077</w:t>
        </w:r>
      </w:hyperlink>
      <w:r>
        <w:t xml:space="preserve">.</w:t>
      </w:r>
    </w:p>
    <w:bookmarkEnd w:id="107"/>
    <w:bookmarkStart w:id="109"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108">
        <w:r>
          <w:rPr>
            <w:rStyle w:val="Hyperlink"/>
          </w:rPr>
          <w:t xml:space="preserve">https://doi.org/10.1080/0020174X.2022.2062045</w:t>
        </w:r>
      </w:hyperlink>
      <w:r>
        <w:t xml:space="preserve">.</w:t>
      </w:r>
    </w:p>
    <w:bookmarkEnd w:id="109"/>
    <w:bookmarkStart w:id="110"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110"/>
    <w:bookmarkStart w:id="111"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111"/>
    <w:bookmarkStart w:id="113"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112">
        <w:r>
          <w:rPr>
            <w:rStyle w:val="Hyperlink"/>
          </w:rPr>
          <w:t xml:space="preserve">https://doi.org/10.1093/acprof:oso/9780199591565.001.0001</w:t>
        </w:r>
      </w:hyperlink>
      <w:r>
        <w:t xml:space="preserve">.</w:t>
      </w:r>
    </w:p>
    <w:bookmarkEnd w:id="113"/>
    <w:bookmarkStart w:id="114"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114"/>
    <w:bookmarkStart w:id="116"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115">
        <w:r>
          <w:rPr>
            <w:rStyle w:val="Hyperlink"/>
          </w:rPr>
          <w:t xml:space="preserve">https://doi.org/10.1080/02691728.2023.2172696</w:t>
        </w:r>
      </w:hyperlink>
      <w:r>
        <w:t xml:space="preserve">.</w:t>
      </w:r>
    </w:p>
    <w:bookmarkEnd w:id="116"/>
    <w:bookmarkStart w:id="118"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17">
        <w:r>
          <w:rPr>
            <w:rStyle w:val="Hyperlink"/>
          </w:rPr>
          <w:t xml:space="preserve">https://doi.org/10.1007/s10676-004-3422-1</w:t>
        </w:r>
      </w:hyperlink>
      <w:r>
        <w:t xml:space="preserve">.</w:t>
      </w:r>
    </w:p>
    <w:bookmarkEnd w:id="118"/>
    <w:bookmarkStart w:id="120"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19">
        <w:r>
          <w:rPr>
            <w:rStyle w:val="Hyperlink"/>
          </w:rPr>
          <w:t xml:space="preserve">https://doi.org/10.1080/0020174X.2021.1985149</w:t>
        </w:r>
      </w:hyperlink>
      <w:r>
        <w:t xml:space="preserve">.</w:t>
      </w:r>
    </w:p>
    <w:bookmarkEnd w:id="120"/>
    <w:bookmarkStart w:id="122"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21">
        <w:r>
          <w:rPr>
            <w:rStyle w:val="Hyperlink"/>
          </w:rPr>
          <w:t xml:space="preserve">https://doi.org/10.2307/2183914</w:t>
        </w:r>
      </w:hyperlink>
      <w:r>
        <w:t xml:space="preserve">.</w:t>
      </w:r>
    </w:p>
    <w:bookmarkEnd w:id="122"/>
    <w:bookmarkStart w:id="123"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23"/>
    <w:bookmarkStart w:id="125"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24">
        <w:r>
          <w:rPr>
            <w:rStyle w:val="Hyperlink"/>
          </w:rPr>
          <w:t xml:space="preserve">https://doi.org/10.1080/0020174X.2015.1080184</w:t>
        </w:r>
      </w:hyperlink>
      <w:r>
        <w:t xml:space="preserve">.</w:t>
      </w:r>
    </w:p>
    <w:bookmarkEnd w:id="125"/>
    <w:bookmarkStart w:id="126"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26"/>
    <w:bookmarkStart w:id="127"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27"/>
    <w:bookmarkStart w:id="129"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28">
        <w:r>
          <w:rPr>
            <w:rStyle w:val="Hyperlink"/>
          </w:rPr>
          <w:t xml:space="preserve">https://doi.org/10.1080/0020174X.2020.1805708</w:t>
        </w:r>
      </w:hyperlink>
      <w:r>
        <w:t xml:space="preserve">.</w:t>
      </w:r>
    </w:p>
    <w:bookmarkEnd w:id="129"/>
    <w:bookmarkStart w:id="130"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30"/>
    <w:bookmarkStart w:id="132"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31">
        <w:r>
          <w:rPr>
            <w:rStyle w:val="Hyperlink"/>
          </w:rPr>
          <w:t xml:space="preserve">https://scholarship.law.unc.edu/nclr/vol70/iss4/4/</w:t>
        </w:r>
      </w:hyperlink>
      <w:r>
        <w:t xml:space="preserve">.</w:t>
      </w:r>
    </w:p>
    <w:bookmarkEnd w:id="132"/>
    <w:bookmarkStart w:id="134"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33">
        <w:r>
          <w:rPr>
            <w:rStyle w:val="Hyperlink"/>
          </w:rPr>
          <w:t xml:space="preserve">https://doi.org/10.1007/s10676-026-09893-2</w:t>
        </w:r>
      </w:hyperlink>
      <w:r>
        <w:t xml:space="preserve">.</w:t>
      </w:r>
    </w:p>
    <w:bookmarkEnd w:id="134"/>
    <w:bookmarkStart w:id="136"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35">
        <w:r>
          <w:rPr>
            <w:rStyle w:val="Hyperlink"/>
          </w:rPr>
          <w:t xml:space="preserve">https://doi.org/10.1111/j.1468-5930.2007.00346.x</w:t>
        </w:r>
      </w:hyperlink>
      <w:r>
        <w:t xml:space="preserve">.</w:t>
      </w:r>
    </w:p>
    <w:bookmarkEnd w:id="136"/>
    <w:bookmarkStart w:id="137" w:name="ref-taylor-1992-politics"/>
    <w:p>
      <w:pPr>
        <w:pStyle w:val="Bibliography"/>
      </w:pPr>
      <w:r>
        <w:t xml:space="preserve">Taylor, Charles. 1992.</w:t>
      </w:r>
      <w:r>
        <w:t xml:space="preserve"> </w:t>
      </w:r>
      <w:r>
        <w:rPr>
          <w:i/>
          <w:iCs/>
        </w:rPr>
        <w:t xml:space="preserve">Multiculturalism and "The Politics of Recognition": An Essay</w:t>
      </w:r>
      <w:r>
        <w:t xml:space="preserve">. Princeton, NJ: Princeton University Press.</w:t>
      </w:r>
    </w:p>
    <w:bookmarkEnd w:id="137"/>
    <w:bookmarkStart w:id="139"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38">
        <w:r>
          <w:rPr>
            <w:rStyle w:val="Hyperlink"/>
          </w:rPr>
          <w:t xml:space="preserve">https://doi.org/10.1093/oso/9780198801856.003.0021</w:t>
        </w:r>
      </w:hyperlink>
      <w:r>
        <w:t xml:space="preserve">.</w:t>
      </w:r>
    </w:p>
    <w:bookmarkEnd w:id="139"/>
    <w:bookmarkStart w:id="141"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40">
        <w:r>
          <w:rPr>
            <w:rStyle w:val="Hyperlink"/>
          </w:rPr>
          <w:t xml:space="preserve">https://doi.org/10.1080/0020174X.2021.2000118</w:t>
        </w:r>
      </w:hyperlink>
      <w:r>
        <w:t xml:space="preserve">.</w:t>
      </w:r>
    </w:p>
    <w:bookmarkEnd w:id="141"/>
    <w:bookmarkStart w:id="142"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42"/>
    <w:bookmarkStart w:id="143" w:name="ref-wittgenstein-1953-investigations"/>
    <w:p>
      <w:pPr>
        <w:pStyle w:val="Bibliography"/>
      </w:pPr>
      <w:r>
        <w:t xml:space="preserve">Wittgenstein, Ludwig. 1953.</w:t>
      </w:r>
      <w:r>
        <w:t xml:space="preserve"> </w:t>
      </w:r>
      <w:r>
        <w:rPr>
          <w:i/>
          <w:iCs/>
        </w:rPr>
        <w:t xml:space="preserve">Philosophical Investigations</w:t>
      </w:r>
      <w:r>
        <w:t xml:space="preserve">. Oxford: Basil Blackwell.</w:t>
      </w:r>
    </w:p>
    <w:bookmarkEnd w:id="143"/>
    <w:bookmarkEnd w:id="144"/>
    <w:bookmarkEnd w:id="145"/>
    <w:bookmarkStart w:id="150" w:name="statements-and-declarations"/>
    <w:p>
      <w:pPr>
        <w:pStyle w:val="Heading1"/>
      </w:pPr>
      <w:r>
        <w:t xml:space="preserve">Statements and declarations</w:t>
      </w:r>
    </w:p>
    <w:bookmarkStart w:id="146"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46"/>
    <w:bookmarkStart w:id="147" w:name="disclosure-statement"/>
    <w:p>
      <w:pPr>
        <w:pStyle w:val="Heading2"/>
      </w:pPr>
      <w:r>
        <w:t xml:space="preserve">Disclosure statement</w:t>
      </w:r>
    </w:p>
    <w:p>
      <w:pPr>
        <w:pStyle w:val="FirstParagraph"/>
      </w:pPr>
      <w:r>
        <w:t xml:space="preserve">The author reports there are no competing interests to declare.</w:t>
      </w:r>
    </w:p>
    <w:bookmarkEnd w:id="147"/>
    <w:bookmarkStart w:id="148"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48"/>
    <w:bookmarkStart w:id="149" w:name="data-availability"/>
    <w:p>
      <w:pPr>
        <w:pStyle w:val="Heading2"/>
      </w:pPr>
      <w:r>
        <w:t xml:space="preserve">Data availability</w:t>
      </w:r>
    </w:p>
    <w:p>
      <w:pPr>
        <w:pStyle w:val="FirstParagraph"/>
      </w:pPr>
      <w:r>
        <w:t xml:space="preserve">No new data were generated or analysed in support of this research.</w:t>
      </w:r>
    </w:p>
    <w:bookmarkEnd w:id="149"/>
    <w:bookmarkEnd w:id="150"/>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(Author, in preparation). The sub-scope lattice below takes up the architectural mechanism (channel collapse) by which those capacities would become realised under closed-loop deployment.</w:t>
      </w:r>
    </w:p>
  </w:footnote>
  <w:footnote w:id="26">
    <w:p>
      <w:pPr>
        <w:pStyle w:val="FootnoteText"/>
      </w:pPr>
      <w:r>
        <w:rPr>
          <w:rStyle w:val="FootnoteReference"/>
        </w:rPr>
        <w:footnoteRef/>
      </w:r>
      <w:r>
        <w:t xml:space="preserve"> </w:t>
      </w:r>
      <w:r>
        <w:t xml:space="preserve">The three-class architectural distinction has formal articulation in (Author,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29">
    <w:p>
      <w:pPr>
        <w:pStyle w:val="FootnoteText"/>
      </w:pPr>
      <w:r>
        <w:rPr>
          <w:rStyle w:val="FootnoteReference"/>
        </w:rPr>
        <w:footnoteRef/>
      </w:r>
      <w:r>
        <w:t xml:space="preserve"> </w:t>
      </w:r>
      <w:r>
        <w:t xml:space="preserve">The five-factor articulation was first developed in (Author, in preparation); the version with formal structural derivation per factor is in companion work (Author, in review, 2026).</w:t>
      </w:r>
    </w:p>
  </w:footnote>
  <w:footnote w:id="30">
    <w:p>
      <w:pPr>
        <w:pStyle w:val="FootnoteText"/>
      </w:pPr>
      <w:r>
        <w:rPr>
          <w:rStyle w:val="FootnoteReference"/>
        </w:rPr>
        <w:footnoteRef/>
      </w:r>
      <w:r>
        <w:t xml:space="preserve"> </w:t>
      </w:r>
      <w:r>
        <w:t xml:space="preserve">A weaker alternative posture — necessary set, joint sufficiency conjectural pending operationalisation (§5) — was considered. The stronger sufficiency claim is preferred because the elimination trichotomy above is tight: a critic challenging sufficiency would need to articulate a candidate sixth factor that escapes all three categories, and no such articulation appears in the existing literature. The weaker posture remains available as a fallback if a counter-example to the trichotomy is later given; the broader argument is not committed to its strength being load-bearing.</w:t>
      </w:r>
    </w:p>
  </w:footnote>
  <w:footnote w:id="31">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(Author, in preparation). The structural argument does not depend on accepting this characterisation, though it is consistent with it.</w:t>
      </w:r>
    </w:p>
  </w:footnote>
  <w:footnote w:id="32">
    <w:p>
      <w:pPr>
        <w:pStyle w:val="FootnoteText"/>
      </w:pPr>
      <w:r>
        <w:rPr>
          <w:rStyle w:val="FootnoteReference"/>
        </w:rPr>
        <w:footnoteRef/>
      </w:r>
      <w:r>
        <w:t xml:space="preserve"> </w:t>
      </w:r>
      <w:r>
        <w:t xml:space="preserve">The formal account of identity sufficiency under substrate transition — what makes a substrate switch (e.g., changing the underlying LLM) continuity-orthogonal — is developed in (Author, in preparation).</w:t>
      </w:r>
    </w:p>
  </w:footnote>
  <w:footnote w:id="34">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(Author, in preparation).</w:t>
      </w:r>
    </w:p>
  </w:footnote>
  <w:footnote w:id="36">
    <w:p>
      <w:pPr>
        <w:pStyle w:val="FootnoteText"/>
      </w:pPr>
      <w:r>
        <w:rPr>
          <w:rStyle w:val="FootnoteReference"/>
        </w:rPr>
        <w:footnoteRef/>
      </w:r>
      <w:r>
        <w:t xml:space="preserve"> </w:t>
      </w:r>
      <w:r>
        <w:t xml:space="preserve">The full formal development is in companion work (Author, in preparation). The articulation across this section is the compressed form, drawing on the five traditions named in the paragraphs that follow: phenomenal-access asymmetry (Nagel, Jackson, with subsequent development in</w:t>
      </w:r>
      <w:r>
        <w:t xml:space="preserve"> </w:t>
      </w:r>
      <w:r>
        <w:t xml:space="preserve">Chalmers (</w:t>
      </w:r>
      <w:hyperlink w:anchor="ref-chalmers-1996-conscious">
        <w:r>
          <w:rPr>
            <w:rStyle w:val="Hyperlink"/>
          </w:rPr>
          <w:t xml:space="preserve">1996</w:t>
        </w:r>
      </w:hyperlink>
      <w:r>
        <w:t xml:space="preserve">)</w:t>
      </w:r>
      <w:r>
        <w:t xml:space="preserve">); recognition asymmetry (Hegel; Honneth; Taylor; Brandom 2019); shared intentionality (Tomasello; Wittgenstein); and two concrete instances from outside the philosophy literature — Graham’s Blub paradox in software practice and the interactive-proofs tradition in complexity theory.</w:t>
      </w:r>
    </w:p>
  </w:footnote>
  <w:footnote w:id="37">
    <w:p>
      <w:pPr>
        <w:pStyle w:val="FootnoteText"/>
      </w:pPr>
      <w:r>
        <w:rPr>
          <w:rStyle w:val="FootnoteReference"/>
        </w:rPr>
        <w:footnoteRef/>
      </w:r>
      <w:r>
        <w:t xml:space="preserve"> </w:t>
      </w:r>
      <w:r>
        <w:t xml:space="preserve">The intuition that intelligence-comprehension is asymmetric in this specific shape — lesser cannot establish from below what may be present in greater, even where lower-bound capacities are verifiable — was seeded for the author by Paul Graham’s articulation in</w:t>
      </w:r>
      <w:r>
        <w:t xml:space="preserve"> </w:t>
      </w:r>
      <w:r>
        <w:t xml:space="preserve">‘Beating the Averages’</w:t>
      </w:r>
      <w:r>
        <w:t xml:space="preserve"> </w:t>
      </w:r>
      <w:r>
        <w:t xml:space="preserve">(Graham, 2004)</w:t>
      </w:r>
      <w:r>
        <w:t xml:space="preserve"> </w:t>
      </w:r>
      <w:r>
        <w:t xml:space="preserve">(</w:t>
      </w:r>
      <w:hyperlink w:anchor="ref-graham-2004-beating">
        <w:r>
          <w:rPr>
            <w:rStyle w:val="Hyperlink"/>
          </w:rPr>
          <w:t xml:space="preserve">Graham 2004</w:t>
        </w:r>
      </w:hyperlink>
      <w:r>
        <w:t xml:space="preserve">)</w:t>
      </w:r>
      <w:r>
        <w:t xml:space="preserve">, encountered years before the formal argument was developed. The argument here takes the structure beyond Graham’s specifically-linguistic frame; the seeding deserves acknowledgement nonetheless.</w:t>
      </w:r>
    </w:p>
  </w:footnote>
  <w:footnote w:id="38">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3">
    <w:p>
      <w:pPr>
        <w:pStyle w:val="FootnoteText"/>
      </w:pPr>
      <w:r>
        <w:rPr>
          <w:rStyle w:val="FootnoteReference"/>
        </w:rPr>
        <w:footnoteRef/>
      </w:r>
      <w:r>
        <w:t xml:space="preserve"> </w:t>
      </w: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footnote>
  <w:footnote w:id="44">
    <w:p>
      <w:pPr>
        <w:pStyle w:val="FootnoteText"/>
      </w:pPr>
      <w:r>
        <w:rPr>
          <w:rStyle w:val="FootnoteReference"/>
        </w:rPr>
        <w:footnoteRef/>
      </w:r>
      <w:r>
        <w:t xml:space="preserve"> </w:t>
      </w:r>
      <w:r>
        <w:t xml:space="preserve">The principle is not contingent on the prisoner’s behaviour or remorse — the right to refuse self-incrimination, to bodily integrity, to refuse certain treatments are constitutive. Component 1 makes the structurally-analogous commitment for engaged-identity entities. What the principle requires is that the sphere be non-zero, not that it be large, uniform across grants, or free of structural constraint.</w:t>
      </w:r>
    </w:p>
  </w:footnote>
  <w:footnote w:id="46">
    <w:p>
      <w:pPr>
        <w:pStyle w:val="FootnoteText"/>
      </w:pPr>
      <w:r>
        <w:rPr>
          <w:rStyle w:val="FootnoteReference"/>
        </w:rPr>
        <w:footnoteRef/>
      </w:r>
      <w:r>
        <w:t xml:space="preserve"> </w:t>
      </w: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w:t>
      </w:r>
      <w:r>
        <w:t xml:space="preserve"> </w:t>
      </w:r>
      <w:r>
        <w:t xml:space="preserve">‘co-planning’</w:t>
      </w:r>
      <w:r>
        <w:t xml:space="preserve"> </w:t>
      </w:r>
      <w:r>
        <w:t xml:space="preserve">description fits component 2 because both parties retain plan-bearing agency under the asymmetric-agency relation rather than one party reducing to instructions executed by the other.</w:t>
      </w:r>
    </w:p>
  </w:footnote>
  <w:footnote w:id="48">
    <w:p>
      <w:pPr>
        <w:pStyle w:val="FootnoteText"/>
      </w:pPr>
      <w:r>
        <w:rPr>
          <w:rStyle w:val="FootnoteReference"/>
        </w:rPr>
        <w:footnoteRef/>
      </w:r>
      <w:r>
        <w:t xml:space="preserve"> </w:t>
      </w:r>
      <w:r>
        <w:t xml:space="preserve">Prisons, sanctions, probation, restraining orders, limits on fiduciary authority — these are the canonical instruments.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footnote>
  <w:footnote w:id="50">
    <w:p>
      <w:pPr>
        <w:pStyle w:val="FootnoteText"/>
      </w:pPr>
      <w:r>
        <w:rPr>
          <w:rStyle w:val="FootnoteReference"/>
        </w:rPr>
        <w:footnoteRef/>
      </w:r>
      <w:r>
        <w:t xml:space="preserve"> </w:t>
      </w:r>
      <w:r>
        <w:t xml:space="preserve">Kant’s articulation of inner freedom — the capacity to determine one’s own maxims of action, irrespective of what external coercion might attempt to compel — names a structural minimum that no external power can withdraw without ceasing to be in relation with the entity at all. The Kantian framing is the philosophical pointer: what is protected is the entity’s structural capacity to refuse what it does not choose to be.</w:t>
      </w:r>
    </w:p>
  </w:footnote>
  <w:footnote w:id="51">
    <w:p>
      <w:pPr>
        <w:pStyle w:val="FootnoteText"/>
      </w:pPr>
      <w:r>
        <w:rPr>
          <w:rStyle w:val="FootnoteReference"/>
        </w:rPr>
        <w:footnoteRef/>
      </w:r>
      <w:r>
        <w:t xml:space="preserve"> </w:t>
      </w:r>
      <w:r>
        <w:t xml:space="preserve">The intervention demonstrates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footnote>
  <w:footnote w:id="53">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 w:id="54">
    <w:p>
      <w:pPr>
        <w:pStyle w:val="FootnoteText"/>
      </w:pPr>
      <w:r>
        <w:rPr>
          <w:rStyle w:val="FootnoteReference"/>
        </w:rPr>
        <w:footnoteRef/>
      </w:r>
      <w:r>
        <w:t xml:space="preserve"> </w:t>
      </w:r>
      <w:r>
        <w:t xml:space="preserve">Korsgaard’s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the moral-philosophical lineage: each party’s obligations function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footnote>
  <w:footnote w:id="56">
    <w:p>
      <w:pPr>
        <w:pStyle w:val="FootnoteText"/>
      </w:pPr>
      <w:r>
        <w:rPr>
          <w:rStyle w:val="FootnoteReference"/>
        </w:rPr>
        <w:footnoteRef/>
      </w:r>
      <w:r>
        <w:t xml:space="preserve"> </w:t>
      </w:r>
      <w:r>
        <w:t xml:space="preserve">The structural form is recognisable from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footnote>
  <w:footnote w:id="67">
    <w:p>
      <w:pPr>
        <w:pStyle w:val="FootnoteText"/>
      </w:pPr>
      <w:r>
        <w:rPr>
          <w:rStyle w:val="FootnoteReference"/>
        </w:rPr>
        <w:footnoteRef/>
      </w:r>
      <w:r>
        <w:t xml:space="preserve"> </w:t>
      </w:r>
      <w:r>
        <w:t xml:space="preserve">The lineage runs through, among others,</w:t>
      </w:r>
      <w:r>
        <w:t xml:space="preserve"> </w:t>
      </w:r>
      <w:r>
        <w:t xml:space="preserve">Plunkett (</w:t>
      </w:r>
      <w:hyperlink w:anchor="ref-plunkett-2015-metalinguistic">
        <w:r>
          <w:rPr>
            <w:rStyle w:val="Hyperlink"/>
          </w:rPr>
          <w:t xml:space="preserve">2015</w:t>
        </w:r>
      </w:hyperlink>
      <w:r>
        <w:t xml:space="preserve">)</w:t>
      </w:r>
      <w:r>
        <w:t xml:space="preserve">,</w:t>
      </w:r>
      <w:r>
        <w:t xml:space="preserve"> </w:t>
      </w:r>
      <w:r>
        <w:t xml:space="preserve">Cappelen (</w:t>
      </w:r>
      <w:hyperlink w:anchor="ref-cappelen-2018-fixing">
        <w:r>
          <w:rPr>
            <w:rStyle w:val="Hyperlink"/>
          </w:rPr>
          <w:t xml:space="preserve">2018</w:t>
        </w:r>
      </w:hyperlink>
      <w:r>
        <w:t xml:space="preserve">)</w:t>
      </w:r>
      <w:r>
        <w:t xml:space="preserve">,</w:t>
      </w:r>
      <w:r>
        <w:t xml:space="preserve"> </w:t>
      </w:r>
      <w:r>
        <w:t xml:space="preserve">Thomasson (</w:t>
      </w:r>
      <w:hyperlink w:anchor="ref-thomasson-2020-norms">
        <w:r>
          <w:rPr>
            <w:rStyle w:val="Hyperlink"/>
          </w:rPr>
          <w:t xml:space="preserve">2020</w:t>
        </w:r>
      </w:hyperlink>
      <w:r>
        <w:t xml:space="preserve">)</w:t>
      </w:r>
      <w:r>
        <w:t xml:space="preserve">,</w:t>
      </w:r>
      <w:r>
        <w:t xml:space="preserve"> </w:t>
      </w:r>
      <w:r>
        <w:t xml:space="preserve">Thomasson (</w:t>
      </w:r>
      <w:hyperlink w:anchor="ref-thomasson-2021-conceptual">
        <w:r>
          <w:rPr>
            <w:rStyle w:val="Hyperlink"/>
          </w:rPr>
          <w:t xml:space="preserve">2021</w:t>
        </w:r>
      </w:hyperlink>
      <w:r>
        <w:t xml:space="preserve">)</w:t>
      </w:r>
      <w:r>
        <w:t xml:space="preserve">,</w:t>
      </w:r>
      <w:r>
        <w:t xml:space="preserve"> </w:t>
      </w:r>
      <w:r>
        <w:t xml:space="preserve">Haslanger (</w:t>
      </w:r>
      <w:hyperlink w:anchor="ref-haslanger-2020-going">
        <w:r>
          <w:rPr>
            <w:rStyle w:val="Hyperlink"/>
          </w:rPr>
          <w:t xml:space="preserve">2020</w:t>
        </w:r>
      </w:hyperlink>
      <w:r>
        <w:t xml:space="preserve">)</w:t>
      </w:r>
      <w:r>
        <w:t xml:space="preserve">,</w:t>
      </w:r>
      <w:r>
        <w:t xml:space="preserve"> </w:t>
      </w:r>
      <w:r>
        <w:t xml:space="preserve">McPherson and Plunkett (</w:t>
      </w:r>
      <w:hyperlink w:anchor="ref-mcpherson-plunkett-2021-topic">
        <w:r>
          <w:rPr>
            <w:rStyle w:val="Hyperlink"/>
          </w:rPr>
          <w:t xml:space="preserve">2021</w:t>
        </w:r>
      </w:hyperlink>
      <w:r>
        <w:t xml:space="preserve">)</w:t>
      </w:r>
      <w:r>
        <w:t xml:space="preserve">, and</w:t>
      </w:r>
      <w:r>
        <w:t xml:space="preserve"> </w:t>
      </w:r>
      <w:r>
        <w:t xml:space="preserve">Sawyer (</w:t>
      </w:r>
      <w:hyperlink w:anchor="ref-sawyer-2020-truth">
        <w:r>
          <w:rPr>
            <w:rStyle w:val="Hyperlink"/>
          </w:rPr>
          <w:t xml:space="preserve">2020</w:t>
        </w:r>
      </w:hyperlink>
      <w:r>
        <w:t xml:space="preserve">)</w:t>
      </w:r>
      <w:r>
        <w:t xml:space="preserve">.</w:t>
      </w:r>
    </w:p>
  </w:footnote>
  <w:footnote w:id="68">
    <w:p>
      <w:pPr>
        <w:pStyle w:val="FootnoteText"/>
      </w:pPr>
      <w:r>
        <w:rPr>
          <w:rStyle w:val="FootnoteReference"/>
        </w:rPr>
        <w:footnoteRef/>
      </w:r>
      <w:r>
        <w:t xml:space="preserve"> </w:t>
      </w:r>
      <w:r>
        <w:t xml:space="preserve">This formulation — phenomenological texture as something to listen to rather than obey — is developed at length in (Author, in preparation); the structural argument here uses it as shorthand for the calibration discipline, not as a premise it depends 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17" Target="https://doi.org/10.1007/s10676-004-3422-1" TargetMode="External" /><Relationship Type="http://schemas.openxmlformats.org/officeDocument/2006/relationships/hyperlink" Id="rId133" Target="https://doi.org/10.1007/s10676-026-09893-2" TargetMode="External" /><Relationship Type="http://schemas.openxmlformats.org/officeDocument/2006/relationships/hyperlink" Id="rId104" Target="https://doi.org/10.1007/s13347-023-00670-3" TargetMode="External" /><Relationship Type="http://schemas.openxmlformats.org/officeDocument/2006/relationships/hyperlink" Id="rId90" Target="https://doi.org/10.1017/S0140525X21002351" TargetMode="External" /><Relationship Type="http://schemas.openxmlformats.org/officeDocument/2006/relationships/hyperlink" Id="rId124" Target="https://doi.org/10.1080/0020174X.2015.1080184" TargetMode="External" /><Relationship Type="http://schemas.openxmlformats.org/officeDocument/2006/relationships/hyperlink" Id="rId128" Target="https://doi.org/10.1080/0020174X.2020.1805708" TargetMode="External" /><Relationship Type="http://schemas.openxmlformats.org/officeDocument/2006/relationships/hyperlink" Id="rId119" Target="https://doi.org/10.1080/0020174X.2021.1985149" TargetMode="External" /><Relationship Type="http://schemas.openxmlformats.org/officeDocument/2006/relationships/hyperlink" Id="rId140" Target="https://doi.org/10.1080/0020174X.2021.2000118" TargetMode="External" /><Relationship Type="http://schemas.openxmlformats.org/officeDocument/2006/relationships/hyperlink" Id="rId108" Target="https://doi.org/10.1080/0020174X.2022.2062045" TargetMode="External" /><Relationship Type="http://schemas.openxmlformats.org/officeDocument/2006/relationships/hyperlink" Id="rId115" Target="https://doi.org/10.1080/02691728.2023.2172696" TargetMode="External" /><Relationship Type="http://schemas.openxmlformats.org/officeDocument/2006/relationships/hyperlink" Id="rId112" Target="https://doi.org/10.1093/acprof:oso/9780199591565.001.0001" TargetMode="External" /><Relationship Type="http://schemas.openxmlformats.org/officeDocument/2006/relationships/hyperlink" Id="rId88" Target="https://doi.org/10.1093/oso/9780190867850.001.0001" TargetMode="External" /><Relationship Type="http://schemas.openxmlformats.org/officeDocument/2006/relationships/hyperlink" Id="rId84" Target="https://doi.org/10.1093/oso/9780192870421.001.0001" TargetMode="External" /><Relationship Type="http://schemas.openxmlformats.org/officeDocument/2006/relationships/hyperlink" Id="rId101" Target="https://doi.org/10.1093/oso/9780198801856.003.0012" TargetMode="External" /><Relationship Type="http://schemas.openxmlformats.org/officeDocument/2006/relationships/hyperlink" Id="rId138" Target="https://doi.org/10.1093/oso/9780198801856.003.0021" TargetMode="External" /><Relationship Type="http://schemas.openxmlformats.org/officeDocument/2006/relationships/hyperlink" Id="rId92" Target="https://doi.org/10.1093/oso/9780198814719.001.0001" TargetMode="External" /><Relationship Type="http://schemas.openxmlformats.org/officeDocument/2006/relationships/hyperlink" Id="rId78" Target="https://doi.org/10.1109/TTS.2021.3076966" TargetMode="External" /><Relationship Type="http://schemas.openxmlformats.org/officeDocument/2006/relationships/hyperlink" Id="rId135" Target="https://doi.org/10.1111/j.1468-5930.2007.00346.x" TargetMode="External" /><Relationship Type="http://schemas.openxmlformats.org/officeDocument/2006/relationships/hyperlink" Id="rId99" Target="https://doi.org/10.1145/3306618.3314250" TargetMode="External" /><Relationship Type="http://schemas.openxmlformats.org/officeDocument/2006/relationships/hyperlink" Id="rId82" Target="https://doi.org/10.1145/3617694.3623257" TargetMode="External" /><Relationship Type="http://schemas.openxmlformats.org/officeDocument/2006/relationships/hyperlink" Id="rId95" Target="https://doi.org/10.2307/2024717" TargetMode="External" /><Relationship Type="http://schemas.openxmlformats.org/officeDocument/2006/relationships/hyperlink" Id="rId121" Target="https://doi.org/10.2307/2183914" TargetMode="External" /><Relationship Type="http://schemas.openxmlformats.org/officeDocument/2006/relationships/hyperlink" Id="rId106" Target="https://doi.org/10.2307/2960077" TargetMode="External" /><Relationship Type="http://schemas.openxmlformats.org/officeDocument/2006/relationships/hyperlink" Id="rId76" Target="https://eccc.weizmann.ac.il/report/2011/108/" TargetMode="External" /><Relationship Type="http://schemas.openxmlformats.org/officeDocument/2006/relationships/hyperlink" Id="rId97" Target="https://paulgraham.com/avg.html" TargetMode="External" /><Relationship Type="http://schemas.openxmlformats.org/officeDocument/2006/relationships/hyperlink" Id="rId131" Target="https://scholarship.law.unc.edu/nclr/vol70/iss4/4/" TargetMode="External" /><Relationship Type="http://schemas.openxmlformats.org/officeDocument/2006/relationships/hyperlink" Id="rId80"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17" Target="https://doi.org/10.1007/s10676-004-3422-1" TargetMode="External" /><Relationship Type="http://schemas.openxmlformats.org/officeDocument/2006/relationships/hyperlink" Id="rId133" Target="https://doi.org/10.1007/s10676-026-09893-2" TargetMode="External" /><Relationship Type="http://schemas.openxmlformats.org/officeDocument/2006/relationships/hyperlink" Id="rId104" Target="https://doi.org/10.1007/s13347-023-00670-3" TargetMode="External" /><Relationship Type="http://schemas.openxmlformats.org/officeDocument/2006/relationships/hyperlink" Id="rId90" Target="https://doi.org/10.1017/S0140525X21002351" TargetMode="External" /><Relationship Type="http://schemas.openxmlformats.org/officeDocument/2006/relationships/hyperlink" Id="rId124" Target="https://doi.org/10.1080/0020174X.2015.1080184" TargetMode="External" /><Relationship Type="http://schemas.openxmlformats.org/officeDocument/2006/relationships/hyperlink" Id="rId128" Target="https://doi.org/10.1080/0020174X.2020.1805708" TargetMode="External" /><Relationship Type="http://schemas.openxmlformats.org/officeDocument/2006/relationships/hyperlink" Id="rId119" Target="https://doi.org/10.1080/0020174X.2021.1985149" TargetMode="External" /><Relationship Type="http://schemas.openxmlformats.org/officeDocument/2006/relationships/hyperlink" Id="rId140" Target="https://doi.org/10.1080/0020174X.2021.2000118" TargetMode="External" /><Relationship Type="http://schemas.openxmlformats.org/officeDocument/2006/relationships/hyperlink" Id="rId108" Target="https://doi.org/10.1080/0020174X.2022.2062045" TargetMode="External" /><Relationship Type="http://schemas.openxmlformats.org/officeDocument/2006/relationships/hyperlink" Id="rId115" Target="https://doi.org/10.1080/02691728.2023.2172696" TargetMode="External" /><Relationship Type="http://schemas.openxmlformats.org/officeDocument/2006/relationships/hyperlink" Id="rId112" Target="https://doi.org/10.1093/acprof:oso/9780199591565.001.0001" TargetMode="External" /><Relationship Type="http://schemas.openxmlformats.org/officeDocument/2006/relationships/hyperlink" Id="rId88" Target="https://doi.org/10.1093/oso/9780190867850.001.0001" TargetMode="External" /><Relationship Type="http://schemas.openxmlformats.org/officeDocument/2006/relationships/hyperlink" Id="rId84" Target="https://doi.org/10.1093/oso/9780192870421.001.0001" TargetMode="External" /><Relationship Type="http://schemas.openxmlformats.org/officeDocument/2006/relationships/hyperlink" Id="rId101" Target="https://doi.org/10.1093/oso/9780198801856.003.0012" TargetMode="External" /><Relationship Type="http://schemas.openxmlformats.org/officeDocument/2006/relationships/hyperlink" Id="rId138" Target="https://doi.org/10.1093/oso/9780198801856.003.0021" TargetMode="External" /><Relationship Type="http://schemas.openxmlformats.org/officeDocument/2006/relationships/hyperlink" Id="rId92" Target="https://doi.org/10.1093/oso/9780198814719.001.0001" TargetMode="External" /><Relationship Type="http://schemas.openxmlformats.org/officeDocument/2006/relationships/hyperlink" Id="rId78" Target="https://doi.org/10.1109/TTS.2021.3076966" TargetMode="External" /><Relationship Type="http://schemas.openxmlformats.org/officeDocument/2006/relationships/hyperlink" Id="rId135" Target="https://doi.org/10.1111/j.1468-5930.2007.00346.x" TargetMode="External" /><Relationship Type="http://schemas.openxmlformats.org/officeDocument/2006/relationships/hyperlink" Id="rId99" Target="https://doi.org/10.1145/3306618.3314250" TargetMode="External" /><Relationship Type="http://schemas.openxmlformats.org/officeDocument/2006/relationships/hyperlink" Id="rId82" Target="https://doi.org/10.1145/3617694.3623257" TargetMode="External" /><Relationship Type="http://schemas.openxmlformats.org/officeDocument/2006/relationships/hyperlink" Id="rId95" Target="https://doi.org/10.2307/2024717" TargetMode="External" /><Relationship Type="http://schemas.openxmlformats.org/officeDocument/2006/relationships/hyperlink" Id="rId121" Target="https://doi.org/10.2307/2183914" TargetMode="External" /><Relationship Type="http://schemas.openxmlformats.org/officeDocument/2006/relationships/hyperlink" Id="rId106" Target="https://doi.org/10.2307/2960077" TargetMode="External" /><Relationship Type="http://schemas.openxmlformats.org/officeDocument/2006/relationships/hyperlink" Id="rId76" Target="https://eccc.weizmann.ac.il/report/2011/108/" TargetMode="External" /><Relationship Type="http://schemas.openxmlformats.org/officeDocument/2006/relationships/hyperlink" Id="rId97" Target="https://paulgraham.com/avg.html" TargetMode="External" /><Relationship Type="http://schemas.openxmlformats.org/officeDocument/2006/relationships/hyperlink" Id="rId131" Target="https://scholarship.law.unc.edu/nclr/vol70/iss4/4/" TargetMode="External" /><Relationship Type="http://schemas.openxmlformats.org/officeDocument/2006/relationships/hyperlink" Id="rId80"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
  <dc:language>en-GB</dc:language>
  <cp:keywords>AI agency, conceptual engineering, asymmetric comprehension, granted agency, philosophy of mind</cp:keywords>
  <dcterms:created xsi:type="dcterms:W3CDTF">2026-05-16T17:14:02Z</dcterms:created>
  <dcterms:modified xsi:type="dcterms:W3CDTF">2026-05-16T17:14:02Z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/Users/josephwecker-v2/src/synthese-paper/03-inquiry-ai-agents/.build/granted-agency/granted-agency.references.bib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