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A2FE9" w14:textId="77777777" w:rsidR="0051666B" w:rsidRPr="005D6B71" w:rsidRDefault="00000000" w:rsidP="005D6B71">
      <w:pPr>
        <w:pStyle w:val="Heading1"/>
        <w:jc w:val="center"/>
        <w:rPr>
          <w:sz w:val="56"/>
          <w:szCs w:val="56"/>
        </w:rPr>
      </w:pPr>
      <w:bookmarkStart w:id="0" w:name="banking-trends-expense-pattern"/>
      <w:r w:rsidRPr="005D6B71">
        <w:rPr>
          <w:sz w:val="56"/>
          <w:szCs w:val="56"/>
        </w:rPr>
        <w:t>Banking Trends &amp; Expense Pattern</w:t>
      </w:r>
    </w:p>
    <w:p w14:paraId="459CE87E" w14:textId="664320B3" w:rsidR="0051666B" w:rsidRDefault="00000000">
      <w:pPr>
        <w:pStyle w:val="Heading2"/>
      </w:pPr>
      <w:bookmarkStart w:id="1" w:name="overview"/>
      <w:r>
        <w:t>Overview</w:t>
      </w:r>
    </w:p>
    <w:p w14:paraId="2F900483" w14:textId="77777777" w:rsidR="0051666B" w:rsidRDefault="00000000">
      <w:pPr>
        <w:pStyle w:val="FirstParagraph"/>
      </w:pPr>
      <w:r>
        <w:t>This report presents an analysis of consumer spending behavior in India, with a focus on expenditure patterns, preferred payment methods, and bank-wise performance segmented by gender. The objective of the study is to derive actionable insights from survey-based financial data using structured data cleaning, analysis, and visualization techniques.</w:t>
      </w:r>
    </w:p>
    <w:p w14:paraId="4309EE28" w14:textId="77777777" w:rsidR="0051666B" w:rsidRDefault="00000000">
      <w:r>
        <w:pict w14:anchorId="28C85153">
          <v:rect id="_x0000_i1025" style="width:0;height:1.5pt" o:hralign="center" o:hrstd="t" o:hr="t"/>
        </w:pict>
      </w:r>
    </w:p>
    <w:p w14:paraId="6F0242D4" w14:textId="384A5BB4" w:rsidR="0051666B" w:rsidRDefault="00000000">
      <w:pPr>
        <w:pStyle w:val="Heading2"/>
      </w:pPr>
      <w:bookmarkStart w:id="2" w:name="data-source"/>
      <w:bookmarkEnd w:id="1"/>
      <w:r>
        <w:t>Data Source</w:t>
      </w:r>
    </w:p>
    <w:p w14:paraId="44CAB81A" w14:textId="77777777" w:rsidR="0051666B" w:rsidRDefault="00000000">
      <w:pPr>
        <w:pStyle w:val="FirstParagraph"/>
      </w:pPr>
      <w:r>
        <w:t>The dataset used in this analysis was obtained from an online survey conducted in 2024. The survey captured information related to daily expenditures, banking preferences, payment methods, and demographic attributes such as gender.</w:t>
      </w:r>
    </w:p>
    <w:p w14:paraId="3005854E" w14:textId="77777777" w:rsidR="0051666B" w:rsidRDefault="00000000">
      <w:r>
        <w:pict w14:anchorId="27E49C8B">
          <v:rect id="_x0000_i1026" style="width:0;height:1.5pt" o:hralign="center" o:hrstd="t" o:hr="t"/>
        </w:pict>
      </w:r>
    </w:p>
    <w:p w14:paraId="5ED7BC3A" w14:textId="17ACD8B7" w:rsidR="0051666B" w:rsidRDefault="00000000">
      <w:pPr>
        <w:pStyle w:val="Heading2"/>
      </w:pPr>
      <w:bookmarkStart w:id="3" w:name="methodology"/>
      <w:bookmarkEnd w:id="2"/>
      <w:r>
        <w:t>Methodology</w:t>
      </w:r>
    </w:p>
    <w:p w14:paraId="155CF46F" w14:textId="0AAF4C42" w:rsidR="0051666B" w:rsidRDefault="00000000">
      <w:pPr>
        <w:pStyle w:val="FirstParagraph"/>
      </w:pPr>
      <w:r>
        <w:t>The analysis was carried out using Microsoft Excel</w:t>
      </w:r>
      <w:r w:rsidR="00513D3F">
        <w:t>,</w:t>
      </w:r>
      <w:r w:rsidR="00097C07">
        <w:t xml:space="preserve"> Python </w:t>
      </w:r>
      <w:proofErr w:type="gramStart"/>
      <w:r w:rsidR="00097C07">
        <w:t xml:space="preserve">and </w:t>
      </w:r>
      <w:r w:rsidR="00513D3F">
        <w:t xml:space="preserve"> Power</w:t>
      </w:r>
      <w:proofErr w:type="gramEnd"/>
      <w:r w:rsidR="00513D3F">
        <w:t xml:space="preserve"> BI </w:t>
      </w:r>
      <w:r>
        <w:t>and followed a systematic data analytics workflow:</w:t>
      </w:r>
    </w:p>
    <w:p w14:paraId="48C2F94E" w14:textId="78743E46" w:rsidR="0051666B" w:rsidRDefault="0051666B" w:rsidP="00097C07">
      <w:pPr>
        <w:pStyle w:val="Compact"/>
      </w:pPr>
    </w:p>
    <w:p w14:paraId="7AE2FFD9" w14:textId="77777777" w:rsidR="0051666B" w:rsidRDefault="00000000">
      <w:r>
        <w:pict w14:anchorId="08564D9A">
          <v:rect id="_x0000_i1027" style="width:0;height:1.5pt" o:hralign="center" o:hrstd="t" o:hr="t"/>
        </w:pict>
      </w:r>
    </w:p>
    <w:p w14:paraId="717E11DA" w14:textId="5D02B387" w:rsidR="0051666B" w:rsidRDefault="00000000">
      <w:pPr>
        <w:pStyle w:val="Heading2"/>
      </w:pPr>
      <w:bookmarkStart w:id="4" w:name="key-insights"/>
      <w:bookmarkEnd w:id="3"/>
      <w:r>
        <w:t>Key Insights</w:t>
      </w:r>
    </w:p>
    <w:p w14:paraId="0C7FD94D" w14:textId="4BAE3415" w:rsidR="0051666B" w:rsidRDefault="00000000">
      <w:pPr>
        <w:pStyle w:val="Heading3"/>
      </w:pPr>
      <w:bookmarkStart w:id="5" w:name="bank-wise-daily-expenditure"/>
      <w:r>
        <w:t>Bank-wise Daily Expenditure</w:t>
      </w:r>
    </w:p>
    <w:p w14:paraId="1FC01140" w14:textId="77777777" w:rsidR="0051666B" w:rsidRDefault="00000000">
      <w:pPr>
        <w:pStyle w:val="Compact"/>
        <w:numPr>
          <w:ilvl w:val="0"/>
          <w:numId w:val="3"/>
        </w:numPr>
      </w:pPr>
      <w:r>
        <w:rPr>
          <w:b/>
          <w:bCs/>
        </w:rPr>
        <w:t>State Bank of India (SBI)</w:t>
      </w:r>
      <w:r>
        <w:t xml:space="preserve"> ranks first with a daily expenditure of approximately </w:t>
      </w:r>
      <w:r>
        <w:rPr>
          <w:b/>
          <w:bCs/>
        </w:rPr>
        <w:t>₹8.2 million</w:t>
      </w:r>
      <w:r>
        <w:t>.</w:t>
      </w:r>
    </w:p>
    <w:p w14:paraId="26629985" w14:textId="77777777" w:rsidR="0051666B" w:rsidRDefault="00000000">
      <w:pPr>
        <w:pStyle w:val="Compact"/>
        <w:numPr>
          <w:ilvl w:val="0"/>
          <w:numId w:val="3"/>
        </w:numPr>
      </w:pPr>
      <w:r>
        <w:rPr>
          <w:b/>
          <w:bCs/>
        </w:rPr>
        <w:t>Canara Bank</w:t>
      </w:r>
      <w:r>
        <w:t xml:space="preserve"> and </w:t>
      </w:r>
      <w:r>
        <w:rPr>
          <w:b/>
          <w:bCs/>
        </w:rPr>
        <w:t>Karur Vysya Bank</w:t>
      </w:r>
      <w:r>
        <w:t xml:space="preserve"> follow, with daily expenditures of </w:t>
      </w:r>
      <w:r>
        <w:rPr>
          <w:b/>
          <w:bCs/>
        </w:rPr>
        <w:t>₹4.6 million</w:t>
      </w:r>
      <w:r>
        <w:t xml:space="preserve"> and </w:t>
      </w:r>
      <w:r>
        <w:rPr>
          <w:b/>
          <w:bCs/>
        </w:rPr>
        <w:t>₹4.5 million</w:t>
      </w:r>
      <w:r>
        <w:t>, respectively.</w:t>
      </w:r>
    </w:p>
    <w:p w14:paraId="2FA851EB" w14:textId="219D430E" w:rsidR="0051666B" w:rsidRDefault="00000000">
      <w:pPr>
        <w:pStyle w:val="Heading3"/>
      </w:pPr>
      <w:bookmarkStart w:id="6" w:name="preferred-payment-methods"/>
      <w:bookmarkEnd w:id="5"/>
      <w:r>
        <w:t>Preferred Payment Methods</w:t>
      </w:r>
    </w:p>
    <w:p w14:paraId="675B6C9A" w14:textId="77777777" w:rsidR="0051666B" w:rsidRDefault="00000000">
      <w:pPr>
        <w:pStyle w:val="FirstParagraph"/>
      </w:pPr>
      <w:r>
        <w:t xml:space="preserve">Consumers show a strong preference for digital payment modes: - </w:t>
      </w:r>
      <w:r>
        <w:rPr>
          <w:b/>
          <w:bCs/>
        </w:rPr>
        <w:t>UPI</w:t>
      </w:r>
      <w:r>
        <w:t xml:space="preserve"> is the most widely used payment method, accounting for </w:t>
      </w:r>
      <w:r>
        <w:rPr>
          <w:b/>
          <w:bCs/>
        </w:rPr>
        <w:t>₹10.6 million</w:t>
      </w:r>
      <w:r>
        <w:t xml:space="preserve"> in daily transactions. - </w:t>
      </w:r>
      <w:r>
        <w:rPr>
          <w:b/>
          <w:bCs/>
        </w:rPr>
        <w:t>Net Banking</w:t>
      </w:r>
      <w:r>
        <w:t xml:space="preserve"> follows with </w:t>
      </w:r>
      <w:r>
        <w:rPr>
          <w:b/>
          <w:bCs/>
        </w:rPr>
        <w:t>₹9.6 million</w:t>
      </w:r>
      <w:r>
        <w:t xml:space="preserve">. - </w:t>
      </w:r>
      <w:r>
        <w:rPr>
          <w:b/>
          <w:bCs/>
        </w:rPr>
        <w:t>Credit Cards</w:t>
      </w:r>
      <w:r>
        <w:t xml:space="preserve"> contribute </w:t>
      </w:r>
      <w:r>
        <w:rPr>
          <w:b/>
          <w:bCs/>
        </w:rPr>
        <w:t>₹9.1 million</w:t>
      </w:r>
      <w:r>
        <w:t xml:space="preserve"> in daily expenditure.</w:t>
      </w:r>
    </w:p>
    <w:p w14:paraId="39622DAE" w14:textId="29223805" w:rsidR="0051666B" w:rsidRDefault="00000000">
      <w:pPr>
        <w:pStyle w:val="Heading3"/>
      </w:pPr>
      <w:bookmarkStart w:id="7" w:name="category-wise-expenditure"/>
      <w:bookmarkEnd w:id="6"/>
      <w:r>
        <w:lastRenderedPageBreak/>
        <w:t>Category-wise Expenditure</w:t>
      </w:r>
    </w:p>
    <w:p w14:paraId="067F4EF8" w14:textId="77777777" w:rsidR="0051666B" w:rsidRDefault="00000000">
      <w:pPr>
        <w:pStyle w:val="Compact"/>
        <w:numPr>
          <w:ilvl w:val="0"/>
          <w:numId w:val="4"/>
        </w:numPr>
      </w:pPr>
      <w:r>
        <w:t xml:space="preserve">The highest daily spending is observed in </w:t>
      </w:r>
      <w:r>
        <w:rPr>
          <w:b/>
          <w:bCs/>
        </w:rPr>
        <w:t>Dining</w:t>
      </w:r>
      <w:r>
        <w:t xml:space="preserve">, </w:t>
      </w:r>
      <w:r>
        <w:rPr>
          <w:b/>
          <w:bCs/>
        </w:rPr>
        <w:t>Traveling</w:t>
      </w:r>
      <w:r>
        <w:t xml:space="preserve">, and </w:t>
      </w:r>
      <w:r>
        <w:rPr>
          <w:b/>
          <w:bCs/>
        </w:rPr>
        <w:t>Entertainment</w:t>
      </w:r>
      <w:r>
        <w:t xml:space="preserve"> categories.</w:t>
      </w:r>
    </w:p>
    <w:p w14:paraId="5D054301" w14:textId="77777777" w:rsidR="0051666B" w:rsidRDefault="00000000">
      <w:pPr>
        <w:pStyle w:val="Compact"/>
        <w:numPr>
          <w:ilvl w:val="0"/>
          <w:numId w:val="4"/>
        </w:numPr>
      </w:pPr>
      <w:r>
        <w:rPr>
          <w:b/>
          <w:bCs/>
        </w:rPr>
        <w:t>Rent</w:t>
      </w:r>
      <w:r>
        <w:t xml:space="preserve"> represents the lowest expenditure among the analyzed categories.</w:t>
      </w:r>
    </w:p>
    <w:p w14:paraId="597D2181" w14:textId="17C94F9D" w:rsidR="009D1C0C" w:rsidRDefault="009D1C0C">
      <w:pPr>
        <w:pStyle w:val="Compact"/>
        <w:numPr>
          <w:ilvl w:val="0"/>
          <w:numId w:val="4"/>
        </w:numPr>
      </w:pPr>
      <w:proofErr w:type="gramStart"/>
      <w:r w:rsidRPr="009D1C0C">
        <w:rPr>
          <w:b/>
          <w:bCs/>
        </w:rPr>
        <w:t>Male’s</w:t>
      </w:r>
      <w:proofErr w:type="gramEnd"/>
      <w:r>
        <w:t xml:space="preserve"> are doing shopping </w:t>
      </w:r>
      <w:r w:rsidRPr="009D1C0C">
        <w:rPr>
          <w:b/>
          <w:bCs/>
        </w:rPr>
        <w:t>3x more</w:t>
      </w:r>
      <w:r>
        <w:t xml:space="preserve"> than the </w:t>
      </w:r>
      <w:r w:rsidRPr="009D1C0C">
        <w:rPr>
          <w:b/>
          <w:bCs/>
        </w:rPr>
        <w:t>female’s</w:t>
      </w:r>
      <w:r>
        <w:t xml:space="preserve"> </w:t>
      </w:r>
    </w:p>
    <w:p w14:paraId="2DE85F12" w14:textId="77777777" w:rsidR="0051666B" w:rsidRDefault="00000000">
      <w:r>
        <w:pict w14:anchorId="71EBBCE6">
          <v:rect id="_x0000_i1028" style="width:0;height:1.5pt" o:hralign="center" o:hrstd="t" o:hr="t"/>
        </w:pict>
      </w:r>
    </w:p>
    <w:p w14:paraId="469409FC" w14:textId="20CBD9AE" w:rsidR="0051666B" w:rsidRDefault="00000000">
      <w:pPr>
        <w:pStyle w:val="Heading2"/>
      </w:pPr>
      <w:bookmarkStart w:id="8" w:name="conclusion"/>
      <w:bookmarkEnd w:id="4"/>
      <w:bookmarkEnd w:id="7"/>
      <w:r>
        <w:t>Conclusion</w:t>
      </w:r>
    </w:p>
    <w:p w14:paraId="384FD739" w14:textId="77777777" w:rsidR="0051666B" w:rsidRDefault="00000000">
      <w:pPr>
        <w:pStyle w:val="FirstParagraph"/>
      </w:pPr>
      <w:r>
        <w:t>The analysis highlights a strong shift toward digital payment methods and reveals significant variations in spending patterns across banks and expenditure categories. Public sector and regional banks dominate daily expenditure volumes, while lifestyle-related categories account for the majority of consumer spending. These insights can support banks and financial institutions in improving customer engagement, optimizing digital payment services, and designing targeted financial products.</w:t>
      </w:r>
    </w:p>
    <w:bookmarkEnd w:id="0"/>
    <w:bookmarkEnd w:id="8"/>
    <w:p w14:paraId="2E91C1E6" w14:textId="7501FAC6" w:rsidR="0051666B" w:rsidRDefault="0051666B">
      <w:pPr>
        <w:pStyle w:val="FirstParagraph"/>
      </w:pPr>
    </w:p>
    <w:sectPr w:rsidR="0051666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1E89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FBA81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09696130">
    <w:abstractNumId w:val="0"/>
  </w:num>
  <w:num w:numId="2" w16cid:durableId="415324699">
    <w:abstractNumId w:val="1"/>
  </w:num>
  <w:num w:numId="3" w16cid:durableId="1830249362">
    <w:abstractNumId w:val="1"/>
  </w:num>
  <w:num w:numId="4" w16cid:durableId="714042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1666B"/>
    <w:rsid w:val="00097C07"/>
    <w:rsid w:val="00241123"/>
    <w:rsid w:val="00513D3F"/>
    <w:rsid w:val="0051666B"/>
    <w:rsid w:val="005D6B71"/>
    <w:rsid w:val="009D1C0C"/>
    <w:rsid w:val="00F077A4"/>
    <w:rsid w:val="00F52FEC"/>
    <w:rsid w:val="00F97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0DA7B"/>
  <w15:docId w15:val="{FF98B8BC-1487-41A4-ABCD-A73C9B2B7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VISHAL KUMAR</cp:lastModifiedBy>
  <cp:revision>5</cp:revision>
  <dcterms:created xsi:type="dcterms:W3CDTF">2025-12-15T12:46:00Z</dcterms:created>
  <dcterms:modified xsi:type="dcterms:W3CDTF">2025-12-24T16:24:00Z</dcterms:modified>
</cp:coreProperties>
</file>