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CDBF23" w14:textId="77777777" w:rsidR="002E13FE" w:rsidRPr="00FC69B5" w:rsidRDefault="002E13FE" w:rsidP="002E13FE">
      <w:pPr>
        <w:rPr>
          <w:rFonts w:ascii="Calibri" w:hAnsi="Calibri" w:cs="Calibri"/>
          <w:b/>
          <w:bCs/>
          <w:sz w:val="36"/>
          <w:szCs w:val="36"/>
        </w:rPr>
      </w:pPr>
      <w:r w:rsidRPr="00FC69B5">
        <w:rPr>
          <w:rFonts w:ascii="Calibri" w:hAnsi="Calibri" w:cs="Calibri"/>
          <w:b/>
          <w:bCs/>
          <w:sz w:val="36"/>
          <w:szCs w:val="36"/>
        </w:rPr>
        <w:t>Analysis</w:t>
      </w:r>
    </w:p>
    <w:p w14:paraId="0C8EE0B9" w14:textId="77777777" w:rsidR="00D53526" w:rsidRPr="00D53526" w:rsidRDefault="00D53526" w:rsidP="00D53526">
      <w:pPr>
        <w:rPr>
          <w:rFonts w:ascii="Calibri" w:hAnsi="Calibri" w:cs="Calibri"/>
        </w:rPr>
      </w:pPr>
      <w:r w:rsidRPr="00D53526">
        <w:rPr>
          <w:rFonts w:ascii="Calibri" w:hAnsi="Calibri" w:cs="Calibri"/>
        </w:rPr>
        <w:t>Across the district, 39,170 high school students' scores were assessed to find averages in math and reading, as well as to calculate the percentages of students passing each subject. Here are the summarized results:</w:t>
      </w:r>
    </w:p>
    <w:p w14:paraId="604FDC31" w14:textId="77777777" w:rsidR="00D53526" w:rsidRPr="00D53526" w:rsidRDefault="00D53526" w:rsidP="00D53526">
      <w:pPr>
        <w:numPr>
          <w:ilvl w:val="0"/>
          <w:numId w:val="7"/>
        </w:numPr>
        <w:rPr>
          <w:rFonts w:ascii="Calibri" w:hAnsi="Calibri" w:cs="Calibri"/>
        </w:rPr>
      </w:pPr>
      <w:r w:rsidRPr="00D53526">
        <w:rPr>
          <w:rFonts w:ascii="Calibri" w:hAnsi="Calibri" w:cs="Calibri"/>
          <w:b/>
          <w:bCs/>
        </w:rPr>
        <w:t>Average Math Score</w:t>
      </w:r>
      <w:r w:rsidRPr="00D53526">
        <w:rPr>
          <w:rFonts w:ascii="Calibri" w:hAnsi="Calibri" w:cs="Calibri"/>
        </w:rPr>
        <w:t>: 78.99</w:t>
      </w:r>
    </w:p>
    <w:p w14:paraId="72BF2C79" w14:textId="77777777" w:rsidR="00D53526" w:rsidRPr="00D53526" w:rsidRDefault="00D53526" w:rsidP="00D53526">
      <w:pPr>
        <w:numPr>
          <w:ilvl w:val="0"/>
          <w:numId w:val="7"/>
        </w:numPr>
        <w:rPr>
          <w:rFonts w:ascii="Calibri" w:hAnsi="Calibri" w:cs="Calibri"/>
        </w:rPr>
      </w:pPr>
      <w:r w:rsidRPr="00D53526">
        <w:rPr>
          <w:rFonts w:ascii="Calibri" w:hAnsi="Calibri" w:cs="Calibri"/>
          <w:b/>
          <w:bCs/>
        </w:rPr>
        <w:t>Average Reading Score</w:t>
      </w:r>
      <w:r w:rsidRPr="00D53526">
        <w:rPr>
          <w:rFonts w:ascii="Calibri" w:hAnsi="Calibri" w:cs="Calibri"/>
        </w:rPr>
        <w:t>: 81.88</w:t>
      </w:r>
    </w:p>
    <w:p w14:paraId="2B1A14A5" w14:textId="77777777" w:rsidR="00D53526" w:rsidRPr="00D53526" w:rsidRDefault="00D53526" w:rsidP="00D53526">
      <w:pPr>
        <w:numPr>
          <w:ilvl w:val="0"/>
          <w:numId w:val="7"/>
        </w:numPr>
        <w:rPr>
          <w:rFonts w:ascii="Calibri" w:hAnsi="Calibri" w:cs="Calibri"/>
        </w:rPr>
      </w:pPr>
      <w:r w:rsidRPr="00D53526">
        <w:rPr>
          <w:rFonts w:ascii="Calibri" w:hAnsi="Calibri" w:cs="Calibri"/>
          <w:b/>
          <w:bCs/>
        </w:rPr>
        <w:t>Percentage Passing Math</w:t>
      </w:r>
      <w:r w:rsidRPr="00D53526">
        <w:rPr>
          <w:rFonts w:ascii="Calibri" w:hAnsi="Calibri" w:cs="Calibri"/>
        </w:rPr>
        <w:t>: 74.98%</w:t>
      </w:r>
    </w:p>
    <w:p w14:paraId="2296CCFE" w14:textId="77777777" w:rsidR="00D53526" w:rsidRPr="00D53526" w:rsidRDefault="00D53526" w:rsidP="00D53526">
      <w:pPr>
        <w:numPr>
          <w:ilvl w:val="0"/>
          <w:numId w:val="7"/>
        </w:numPr>
        <w:rPr>
          <w:rFonts w:ascii="Calibri" w:hAnsi="Calibri" w:cs="Calibri"/>
        </w:rPr>
      </w:pPr>
      <w:r w:rsidRPr="00D53526">
        <w:rPr>
          <w:rFonts w:ascii="Calibri" w:hAnsi="Calibri" w:cs="Calibri"/>
          <w:b/>
          <w:bCs/>
        </w:rPr>
        <w:t>Percentage Passing Reading</w:t>
      </w:r>
      <w:r w:rsidRPr="00D53526">
        <w:rPr>
          <w:rFonts w:ascii="Calibri" w:hAnsi="Calibri" w:cs="Calibri"/>
        </w:rPr>
        <w:t>: 85.81%</w:t>
      </w:r>
    </w:p>
    <w:p w14:paraId="0E42F7F4" w14:textId="77777777" w:rsidR="00D53526" w:rsidRPr="00D53526" w:rsidRDefault="00D53526" w:rsidP="00D53526">
      <w:pPr>
        <w:numPr>
          <w:ilvl w:val="0"/>
          <w:numId w:val="7"/>
        </w:numPr>
        <w:rPr>
          <w:rFonts w:ascii="Calibri" w:hAnsi="Calibri" w:cs="Calibri"/>
        </w:rPr>
      </w:pPr>
      <w:r w:rsidRPr="00D53526">
        <w:rPr>
          <w:rFonts w:ascii="Calibri" w:hAnsi="Calibri" w:cs="Calibri"/>
          <w:b/>
          <w:bCs/>
        </w:rPr>
        <w:t>Overall Passing Rate</w:t>
      </w:r>
      <w:r w:rsidRPr="00D53526">
        <w:rPr>
          <w:rFonts w:ascii="Calibri" w:hAnsi="Calibri" w:cs="Calibri"/>
        </w:rPr>
        <w:t>: 65.17%</w:t>
      </w:r>
    </w:p>
    <w:p w14:paraId="3A2F10A6" w14:textId="77777777" w:rsidR="00D53526" w:rsidRPr="00D53526" w:rsidRDefault="00D53526" w:rsidP="00D53526">
      <w:pPr>
        <w:rPr>
          <w:rFonts w:ascii="Calibri" w:hAnsi="Calibri" w:cs="Calibri"/>
        </w:rPr>
      </w:pPr>
      <w:r w:rsidRPr="00D53526">
        <w:rPr>
          <w:rFonts w:ascii="Calibri" w:hAnsi="Calibri" w:cs="Calibri"/>
        </w:rPr>
        <w:t>A total of 15 high schools were reviewed to explore the correlation between school spending per student and academic performance, in addition to identifying the highest and lowest-performing schools based on overall passing rates. The schools achieving the highest and lowest passing rates are as follows:</w:t>
      </w:r>
    </w:p>
    <w:p w14:paraId="3A9E954F" w14:textId="77777777" w:rsidR="00D53526" w:rsidRPr="00D53526" w:rsidRDefault="00D53526" w:rsidP="00D53526">
      <w:pPr>
        <w:rPr>
          <w:rFonts w:ascii="Calibri" w:hAnsi="Calibri" w:cs="Calibri"/>
        </w:rPr>
      </w:pPr>
      <w:r w:rsidRPr="00D53526">
        <w:rPr>
          <w:rFonts w:ascii="Calibri" w:hAnsi="Calibri" w:cs="Calibri"/>
          <w:b/>
          <w:bCs/>
        </w:rPr>
        <w:t>Top-Performing Schools</w:t>
      </w:r>
      <w:r w:rsidRPr="00D53526">
        <w:rPr>
          <w:rFonts w:ascii="Calibri" w:hAnsi="Calibri" w:cs="Calibri"/>
        </w:rPr>
        <w:t>:</w:t>
      </w:r>
    </w:p>
    <w:p w14:paraId="70D2CBD7" w14:textId="77777777" w:rsidR="00D53526" w:rsidRPr="00D53526" w:rsidRDefault="00D53526" w:rsidP="00D53526">
      <w:pPr>
        <w:numPr>
          <w:ilvl w:val="0"/>
          <w:numId w:val="8"/>
        </w:numPr>
        <w:rPr>
          <w:rFonts w:ascii="Calibri" w:hAnsi="Calibri" w:cs="Calibri"/>
        </w:rPr>
      </w:pPr>
      <w:r w:rsidRPr="00D53526">
        <w:rPr>
          <w:rFonts w:ascii="Calibri" w:hAnsi="Calibri" w:cs="Calibri"/>
        </w:rPr>
        <w:t>Cabrera High School</w:t>
      </w:r>
    </w:p>
    <w:p w14:paraId="61E2F6A2" w14:textId="77777777" w:rsidR="00D53526" w:rsidRPr="00D53526" w:rsidRDefault="00D53526" w:rsidP="00D53526">
      <w:pPr>
        <w:numPr>
          <w:ilvl w:val="0"/>
          <w:numId w:val="8"/>
        </w:numPr>
        <w:rPr>
          <w:rFonts w:ascii="Calibri" w:hAnsi="Calibri" w:cs="Calibri"/>
        </w:rPr>
      </w:pPr>
      <w:r w:rsidRPr="00D53526">
        <w:rPr>
          <w:rFonts w:ascii="Calibri" w:hAnsi="Calibri" w:cs="Calibri"/>
        </w:rPr>
        <w:t>Thomas High School</w:t>
      </w:r>
    </w:p>
    <w:p w14:paraId="5B1C84AF" w14:textId="77777777" w:rsidR="00D53526" w:rsidRPr="00D53526" w:rsidRDefault="00D53526" w:rsidP="00D53526">
      <w:pPr>
        <w:numPr>
          <w:ilvl w:val="0"/>
          <w:numId w:val="8"/>
        </w:numPr>
        <w:rPr>
          <w:rFonts w:ascii="Calibri" w:hAnsi="Calibri" w:cs="Calibri"/>
        </w:rPr>
      </w:pPr>
      <w:r w:rsidRPr="00D53526">
        <w:rPr>
          <w:rFonts w:ascii="Calibri" w:hAnsi="Calibri" w:cs="Calibri"/>
        </w:rPr>
        <w:t>Griffin High School</w:t>
      </w:r>
    </w:p>
    <w:p w14:paraId="701B13A0" w14:textId="77777777" w:rsidR="00D53526" w:rsidRPr="00D53526" w:rsidRDefault="00D53526" w:rsidP="00D53526">
      <w:pPr>
        <w:numPr>
          <w:ilvl w:val="0"/>
          <w:numId w:val="8"/>
        </w:numPr>
        <w:rPr>
          <w:rFonts w:ascii="Calibri" w:hAnsi="Calibri" w:cs="Calibri"/>
        </w:rPr>
      </w:pPr>
      <w:r w:rsidRPr="00D53526">
        <w:rPr>
          <w:rFonts w:ascii="Calibri" w:hAnsi="Calibri" w:cs="Calibri"/>
        </w:rPr>
        <w:t>Wilson High School</w:t>
      </w:r>
    </w:p>
    <w:p w14:paraId="59CCCA19" w14:textId="77777777" w:rsidR="00D53526" w:rsidRPr="00D53526" w:rsidRDefault="00D53526" w:rsidP="00D53526">
      <w:pPr>
        <w:numPr>
          <w:ilvl w:val="0"/>
          <w:numId w:val="8"/>
        </w:numPr>
        <w:rPr>
          <w:rFonts w:ascii="Calibri" w:hAnsi="Calibri" w:cs="Calibri"/>
        </w:rPr>
      </w:pPr>
      <w:r w:rsidRPr="00D53526">
        <w:rPr>
          <w:rFonts w:ascii="Calibri" w:hAnsi="Calibri" w:cs="Calibri"/>
        </w:rPr>
        <w:t>Pena High School</w:t>
      </w:r>
    </w:p>
    <w:p w14:paraId="20720D5B" w14:textId="77777777" w:rsidR="00D53526" w:rsidRPr="00D53526" w:rsidRDefault="00D53526" w:rsidP="00D53526">
      <w:pPr>
        <w:rPr>
          <w:rFonts w:ascii="Calibri" w:hAnsi="Calibri" w:cs="Calibri"/>
        </w:rPr>
      </w:pPr>
      <w:r w:rsidRPr="00D53526">
        <w:rPr>
          <w:rFonts w:ascii="Calibri" w:hAnsi="Calibri" w:cs="Calibri"/>
          <w:b/>
          <w:bCs/>
        </w:rPr>
        <w:t>Lowest-Performing Schools</w:t>
      </w:r>
      <w:r w:rsidRPr="00D53526">
        <w:rPr>
          <w:rFonts w:ascii="Calibri" w:hAnsi="Calibri" w:cs="Calibri"/>
        </w:rPr>
        <w:t>:</w:t>
      </w:r>
    </w:p>
    <w:p w14:paraId="52772197" w14:textId="77777777" w:rsidR="00D53526" w:rsidRPr="00D53526" w:rsidRDefault="00D53526" w:rsidP="00D53526">
      <w:pPr>
        <w:numPr>
          <w:ilvl w:val="0"/>
          <w:numId w:val="9"/>
        </w:numPr>
        <w:rPr>
          <w:rFonts w:ascii="Calibri" w:hAnsi="Calibri" w:cs="Calibri"/>
        </w:rPr>
      </w:pPr>
      <w:r w:rsidRPr="00D53526">
        <w:rPr>
          <w:rFonts w:ascii="Calibri" w:hAnsi="Calibri" w:cs="Calibri"/>
        </w:rPr>
        <w:t>Rodriguez High School</w:t>
      </w:r>
    </w:p>
    <w:p w14:paraId="3F508D46" w14:textId="77777777" w:rsidR="00D53526" w:rsidRPr="00D53526" w:rsidRDefault="00D53526" w:rsidP="00D53526">
      <w:pPr>
        <w:numPr>
          <w:ilvl w:val="0"/>
          <w:numId w:val="9"/>
        </w:numPr>
        <w:rPr>
          <w:rFonts w:ascii="Calibri" w:hAnsi="Calibri" w:cs="Calibri"/>
        </w:rPr>
      </w:pPr>
      <w:r w:rsidRPr="00D53526">
        <w:rPr>
          <w:rFonts w:ascii="Calibri" w:hAnsi="Calibri" w:cs="Calibri"/>
        </w:rPr>
        <w:t>Figueroa High School</w:t>
      </w:r>
    </w:p>
    <w:p w14:paraId="10489418" w14:textId="77777777" w:rsidR="00D53526" w:rsidRPr="00D53526" w:rsidRDefault="00D53526" w:rsidP="00D53526">
      <w:pPr>
        <w:numPr>
          <w:ilvl w:val="0"/>
          <w:numId w:val="9"/>
        </w:numPr>
        <w:rPr>
          <w:rFonts w:ascii="Calibri" w:hAnsi="Calibri" w:cs="Calibri"/>
        </w:rPr>
      </w:pPr>
      <w:r w:rsidRPr="00D53526">
        <w:rPr>
          <w:rFonts w:ascii="Calibri" w:hAnsi="Calibri" w:cs="Calibri"/>
        </w:rPr>
        <w:t>Huang High School</w:t>
      </w:r>
    </w:p>
    <w:p w14:paraId="4B661224" w14:textId="77777777" w:rsidR="00D53526" w:rsidRPr="00D53526" w:rsidRDefault="00D53526" w:rsidP="00D53526">
      <w:pPr>
        <w:numPr>
          <w:ilvl w:val="0"/>
          <w:numId w:val="9"/>
        </w:numPr>
        <w:rPr>
          <w:rFonts w:ascii="Calibri" w:hAnsi="Calibri" w:cs="Calibri"/>
        </w:rPr>
      </w:pPr>
      <w:r w:rsidRPr="00D53526">
        <w:rPr>
          <w:rFonts w:ascii="Calibri" w:hAnsi="Calibri" w:cs="Calibri"/>
        </w:rPr>
        <w:t>Hernandez High School</w:t>
      </w:r>
    </w:p>
    <w:p w14:paraId="25D2DC7A" w14:textId="77777777" w:rsidR="00D53526" w:rsidRPr="00D53526" w:rsidRDefault="00D53526" w:rsidP="00D53526">
      <w:pPr>
        <w:numPr>
          <w:ilvl w:val="0"/>
          <w:numId w:val="9"/>
        </w:numPr>
        <w:rPr>
          <w:rFonts w:ascii="Calibri" w:hAnsi="Calibri" w:cs="Calibri"/>
        </w:rPr>
      </w:pPr>
      <w:r w:rsidRPr="00D53526">
        <w:rPr>
          <w:rFonts w:ascii="Calibri" w:hAnsi="Calibri" w:cs="Calibri"/>
        </w:rPr>
        <w:t>Johnson High School</w:t>
      </w:r>
    </w:p>
    <w:p w14:paraId="2560EF4A" w14:textId="77777777" w:rsidR="00D53526" w:rsidRPr="00D53526" w:rsidRDefault="00D53526" w:rsidP="00D53526">
      <w:pPr>
        <w:rPr>
          <w:rFonts w:ascii="Calibri" w:hAnsi="Calibri" w:cs="Calibri"/>
        </w:rPr>
      </w:pPr>
      <w:r w:rsidRPr="00D53526">
        <w:rPr>
          <w:rFonts w:ascii="Calibri" w:hAnsi="Calibri" w:cs="Calibri"/>
        </w:rPr>
        <w:t>From the analysis, several key insights emerged:</w:t>
      </w:r>
    </w:p>
    <w:p w14:paraId="12C8C1DA" w14:textId="77777777" w:rsidR="00D53526" w:rsidRPr="00D53526" w:rsidRDefault="00D53526" w:rsidP="00D53526">
      <w:pPr>
        <w:numPr>
          <w:ilvl w:val="0"/>
          <w:numId w:val="10"/>
        </w:numPr>
        <w:rPr>
          <w:rFonts w:ascii="Calibri" w:hAnsi="Calibri" w:cs="Calibri"/>
        </w:rPr>
      </w:pPr>
      <w:r w:rsidRPr="00D53526">
        <w:rPr>
          <w:rFonts w:ascii="Calibri" w:hAnsi="Calibri" w:cs="Calibri"/>
          <w:b/>
          <w:bCs/>
        </w:rPr>
        <w:t>School Type and Passing Rates</w:t>
      </w:r>
      <w:r w:rsidRPr="00D53526">
        <w:rPr>
          <w:rFonts w:ascii="Calibri" w:hAnsi="Calibri" w:cs="Calibri"/>
        </w:rPr>
        <w:t>: Charter schools showed a notably higher overall passing rate (90.43%) compared to district schools, which had a passing rate of 53.67%.</w:t>
      </w:r>
    </w:p>
    <w:p w14:paraId="3AC1851D" w14:textId="77777777" w:rsidR="00D53526" w:rsidRPr="00D53526" w:rsidRDefault="00D53526" w:rsidP="00D53526">
      <w:pPr>
        <w:numPr>
          <w:ilvl w:val="0"/>
          <w:numId w:val="10"/>
        </w:numPr>
        <w:rPr>
          <w:rFonts w:ascii="Calibri" w:hAnsi="Calibri" w:cs="Calibri"/>
        </w:rPr>
      </w:pPr>
      <w:r w:rsidRPr="00D53526">
        <w:rPr>
          <w:rFonts w:ascii="Calibri" w:hAnsi="Calibri" w:cs="Calibri"/>
          <w:b/>
          <w:bCs/>
        </w:rPr>
        <w:t>Spending per Student vs. Academic Performance</w:t>
      </w:r>
      <w:r w:rsidRPr="00D53526">
        <w:rPr>
          <w:rFonts w:ascii="Calibri" w:hAnsi="Calibri" w:cs="Calibri"/>
        </w:rPr>
        <w:t>: No positive correlation was observed between per-student spending and academic outcomes. Interestingly, schools in the lowest spending bracket (under $585 per student) had the highest average scores and overall passing rates in math and reading.</w:t>
      </w:r>
    </w:p>
    <w:p w14:paraId="2D1C76DD" w14:textId="77777777" w:rsidR="00D53526" w:rsidRPr="00D53526" w:rsidRDefault="00D53526" w:rsidP="00D53526">
      <w:pPr>
        <w:numPr>
          <w:ilvl w:val="0"/>
          <w:numId w:val="10"/>
        </w:numPr>
        <w:rPr>
          <w:rFonts w:ascii="Calibri" w:hAnsi="Calibri" w:cs="Calibri"/>
        </w:rPr>
      </w:pPr>
      <w:r w:rsidRPr="00D53526">
        <w:rPr>
          <w:rFonts w:ascii="Calibri" w:hAnsi="Calibri" w:cs="Calibri"/>
          <w:b/>
          <w:bCs/>
        </w:rPr>
        <w:lastRenderedPageBreak/>
        <w:t>School Budget’s Effect on Outcomes</w:t>
      </w:r>
      <w:r w:rsidRPr="00D53526">
        <w:rPr>
          <w:rFonts w:ascii="Calibri" w:hAnsi="Calibri" w:cs="Calibri"/>
        </w:rPr>
        <w:t>: Higher school budgets don’t necessarily translate into better academic scores. By comparing schools with similar budget levels, we can better understand how resource management impacts educational effectiveness.</w:t>
      </w:r>
    </w:p>
    <w:p w14:paraId="3808C125" w14:textId="77777777" w:rsidR="00D53526" w:rsidRPr="00D53526" w:rsidRDefault="00D53526" w:rsidP="00D53526">
      <w:pPr>
        <w:numPr>
          <w:ilvl w:val="0"/>
          <w:numId w:val="10"/>
        </w:numPr>
        <w:rPr>
          <w:rFonts w:ascii="Calibri" w:hAnsi="Calibri" w:cs="Calibri"/>
        </w:rPr>
      </w:pPr>
      <w:r w:rsidRPr="00D53526">
        <w:rPr>
          <w:rFonts w:ascii="Calibri" w:hAnsi="Calibri" w:cs="Calibri"/>
          <w:b/>
          <w:bCs/>
        </w:rPr>
        <w:t>School Size and Achievement</w:t>
      </w:r>
      <w:r w:rsidRPr="00D53526">
        <w:rPr>
          <w:rFonts w:ascii="Calibri" w:hAnsi="Calibri" w:cs="Calibri"/>
        </w:rPr>
        <w:t>: Smaller schools generally demonstrated higher average scores and passing rates than larger schools, hinting that reduced class sizes and a more close-knit learning environment may be beneficial to student performance.</w:t>
      </w:r>
    </w:p>
    <w:p w14:paraId="377D9CAD" w14:textId="2D127491" w:rsidR="00C428AB" w:rsidRPr="00FC69B5" w:rsidRDefault="00C428AB">
      <w:pPr>
        <w:rPr>
          <w:rFonts w:ascii="Calibri" w:hAnsi="Calibri" w:cs="Calibri"/>
        </w:rPr>
      </w:pPr>
    </w:p>
    <w:sectPr w:rsidR="00C428AB" w:rsidRPr="00FC69B5" w:rsidSect="00BF1C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341EC"/>
    <w:multiLevelType w:val="multilevel"/>
    <w:tmpl w:val="813A3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163A99"/>
    <w:multiLevelType w:val="hybridMultilevel"/>
    <w:tmpl w:val="82D82A8E"/>
    <w:lvl w:ilvl="0" w:tplc="EA2C1FBC">
      <w:start w:val="1"/>
      <w:numFmt w:val="decimal"/>
      <w:lvlText w:val="%1."/>
      <w:lvlJc w:val="left"/>
      <w:pPr>
        <w:ind w:left="720" w:hanging="360"/>
      </w:pPr>
      <w:rPr>
        <w:rFonts w:hint="default"/>
        <w:b w:val="0"/>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C82EC3"/>
    <w:multiLevelType w:val="multilevel"/>
    <w:tmpl w:val="5E847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8E284B"/>
    <w:multiLevelType w:val="hybridMultilevel"/>
    <w:tmpl w:val="E53255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4C57CE3"/>
    <w:multiLevelType w:val="multilevel"/>
    <w:tmpl w:val="B5DAF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477806"/>
    <w:multiLevelType w:val="multilevel"/>
    <w:tmpl w:val="AABC6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CB0144C"/>
    <w:multiLevelType w:val="multilevel"/>
    <w:tmpl w:val="B0183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4A906B2"/>
    <w:multiLevelType w:val="hybridMultilevel"/>
    <w:tmpl w:val="26D624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27418CA"/>
    <w:multiLevelType w:val="multilevel"/>
    <w:tmpl w:val="62BE6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FF386F"/>
    <w:multiLevelType w:val="multilevel"/>
    <w:tmpl w:val="8A429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9232565">
    <w:abstractNumId w:val="1"/>
  </w:num>
  <w:num w:numId="2" w16cid:durableId="751202146">
    <w:abstractNumId w:val="7"/>
  </w:num>
  <w:num w:numId="3" w16cid:durableId="35662481">
    <w:abstractNumId w:val="3"/>
  </w:num>
  <w:num w:numId="4" w16cid:durableId="2082439115">
    <w:abstractNumId w:val="5"/>
  </w:num>
  <w:num w:numId="5" w16cid:durableId="1249343754">
    <w:abstractNumId w:val="6"/>
  </w:num>
  <w:num w:numId="6" w16cid:durableId="982463694">
    <w:abstractNumId w:val="0"/>
  </w:num>
  <w:num w:numId="7" w16cid:durableId="1586379292">
    <w:abstractNumId w:val="8"/>
  </w:num>
  <w:num w:numId="8" w16cid:durableId="225799651">
    <w:abstractNumId w:val="2"/>
  </w:num>
  <w:num w:numId="9" w16cid:durableId="1533960843">
    <w:abstractNumId w:val="9"/>
  </w:num>
  <w:num w:numId="10" w16cid:durableId="20385000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3FE"/>
    <w:rsid w:val="001413DE"/>
    <w:rsid w:val="002E13FE"/>
    <w:rsid w:val="008F4A20"/>
    <w:rsid w:val="00957D33"/>
    <w:rsid w:val="00BF1C02"/>
    <w:rsid w:val="00C26365"/>
    <w:rsid w:val="00C428AB"/>
    <w:rsid w:val="00D53526"/>
    <w:rsid w:val="00D64AF1"/>
    <w:rsid w:val="00F07ECF"/>
    <w:rsid w:val="00FC69B5"/>
    <w:rsid w:val="00FF1B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D3B1B"/>
  <w15:chartTrackingRefBased/>
  <w15:docId w15:val="{7E8D06CB-22BF-481C-9F90-241843D08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13FE"/>
    <w:rPr>
      <w:kern w:val="0"/>
      <w14:ligatures w14:val="none"/>
    </w:rPr>
  </w:style>
  <w:style w:type="paragraph" w:styleId="Heading1">
    <w:name w:val="heading 1"/>
    <w:basedOn w:val="Normal"/>
    <w:next w:val="Normal"/>
    <w:link w:val="Heading1Char"/>
    <w:uiPriority w:val="9"/>
    <w:qFormat/>
    <w:rsid w:val="002E13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13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13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13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13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13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13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13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13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13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13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13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13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13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13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13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13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13FE"/>
    <w:rPr>
      <w:rFonts w:eastAsiaTheme="majorEastAsia" w:cstheme="majorBidi"/>
      <w:color w:val="272727" w:themeColor="text1" w:themeTint="D8"/>
    </w:rPr>
  </w:style>
  <w:style w:type="paragraph" w:styleId="Title">
    <w:name w:val="Title"/>
    <w:basedOn w:val="Normal"/>
    <w:next w:val="Normal"/>
    <w:link w:val="TitleChar"/>
    <w:uiPriority w:val="10"/>
    <w:qFormat/>
    <w:rsid w:val="002E13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13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13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13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13FE"/>
    <w:pPr>
      <w:spacing w:before="160"/>
      <w:jc w:val="center"/>
    </w:pPr>
    <w:rPr>
      <w:i/>
      <w:iCs/>
      <w:color w:val="404040" w:themeColor="text1" w:themeTint="BF"/>
    </w:rPr>
  </w:style>
  <w:style w:type="character" w:customStyle="1" w:styleId="QuoteChar">
    <w:name w:val="Quote Char"/>
    <w:basedOn w:val="DefaultParagraphFont"/>
    <w:link w:val="Quote"/>
    <w:uiPriority w:val="29"/>
    <w:rsid w:val="002E13FE"/>
    <w:rPr>
      <w:i/>
      <w:iCs/>
      <w:color w:val="404040" w:themeColor="text1" w:themeTint="BF"/>
    </w:rPr>
  </w:style>
  <w:style w:type="paragraph" w:styleId="ListParagraph">
    <w:name w:val="List Paragraph"/>
    <w:basedOn w:val="Normal"/>
    <w:uiPriority w:val="34"/>
    <w:qFormat/>
    <w:rsid w:val="002E13FE"/>
    <w:pPr>
      <w:ind w:left="720"/>
      <w:contextualSpacing/>
    </w:pPr>
  </w:style>
  <w:style w:type="character" w:styleId="IntenseEmphasis">
    <w:name w:val="Intense Emphasis"/>
    <w:basedOn w:val="DefaultParagraphFont"/>
    <w:uiPriority w:val="21"/>
    <w:qFormat/>
    <w:rsid w:val="002E13FE"/>
    <w:rPr>
      <w:i/>
      <w:iCs/>
      <w:color w:val="0F4761" w:themeColor="accent1" w:themeShade="BF"/>
    </w:rPr>
  </w:style>
  <w:style w:type="paragraph" w:styleId="IntenseQuote">
    <w:name w:val="Intense Quote"/>
    <w:basedOn w:val="Normal"/>
    <w:next w:val="Normal"/>
    <w:link w:val="IntenseQuoteChar"/>
    <w:uiPriority w:val="30"/>
    <w:qFormat/>
    <w:rsid w:val="002E13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13FE"/>
    <w:rPr>
      <w:i/>
      <w:iCs/>
      <w:color w:val="0F4761" w:themeColor="accent1" w:themeShade="BF"/>
    </w:rPr>
  </w:style>
  <w:style w:type="character" w:styleId="IntenseReference">
    <w:name w:val="Intense Reference"/>
    <w:basedOn w:val="DefaultParagraphFont"/>
    <w:uiPriority w:val="32"/>
    <w:qFormat/>
    <w:rsid w:val="002E13FE"/>
    <w:rPr>
      <w:b/>
      <w:bCs/>
      <w:smallCaps/>
      <w:color w:val="0F4761" w:themeColor="accent1" w:themeShade="BF"/>
      <w:spacing w:val="5"/>
    </w:rPr>
  </w:style>
  <w:style w:type="character" w:styleId="Strong">
    <w:name w:val="Strong"/>
    <w:basedOn w:val="DefaultParagraphFont"/>
    <w:uiPriority w:val="22"/>
    <w:qFormat/>
    <w:rsid w:val="002E13FE"/>
    <w:rPr>
      <w:b/>
      <w:bCs/>
    </w:rPr>
  </w:style>
  <w:style w:type="paragraph" w:styleId="NormalWeb">
    <w:name w:val="Normal (Web)"/>
    <w:basedOn w:val="Normal"/>
    <w:uiPriority w:val="99"/>
    <w:semiHidden/>
    <w:unhideWhenUsed/>
    <w:rsid w:val="00F07EC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72672">
      <w:bodyDiv w:val="1"/>
      <w:marLeft w:val="0"/>
      <w:marRight w:val="0"/>
      <w:marTop w:val="0"/>
      <w:marBottom w:val="0"/>
      <w:divBdr>
        <w:top w:val="none" w:sz="0" w:space="0" w:color="auto"/>
        <w:left w:val="none" w:sz="0" w:space="0" w:color="auto"/>
        <w:bottom w:val="none" w:sz="0" w:space="0" w:color="auto"/>
        <w:right w:val="none" w:sz="0" w:space="0" w:color="auto"/>
      </w:divBdr>
    </w:div>
    <w:div w:id="962421583">
      <w:bodyDiv w:val="1"/>
      <w:marLeft w:val="0"/>
      <w:marRight w:val="0"/>
      <w:marTop w:val="0"/>
      <w:marBottom w:val="0"/>
      <w:divBdr>
        <w:top w:val="none" w:sz="0" w:space="0" w:color="auto"/>
        <w:left w:val="none" w:sz="0" w:space="0" w:color="auto"/>
        <w:bottom w:val="none" w:sz="0" w:space="0" w:color="auto"/>
        <w:right w:val="none" w:sz="0" w:space="0" w:color="auto"/>
      </w:divBdr>
      <w:divsChild>
        <w:div w:id="1232040397">
          <w:marLeft w:val="0"/>
          <w:marRight w:val="0"/>
          <w:marTop w:val="0"/>
          <w:marBottom w:val="0"/>
          <w:divBdr>
            <w:top w:val="none" w:sz="0" w:space="0" w:color="auto"/>
            <w:left w:val="none" w:sz="0" w:space="0" w:color="auto"/>
            <w:bottom w:val="none" w:sz="0" w:space="0" w:color="auto"/>
            <w:right w:val="none" w:sz="0" w:space="0" w:color="auto"/>
          </w:divBdr>
          <w:divsChild>
            <w:div w:id="1138449466">
              <w:marLeft w:val="0"/>
              <w:marRight w:val="0"/>
              <w:marTop w:val="0"/>
              <w:marBottom w:val="0"/>
              <w:divBdr>
                <w:top w:val="none" w:sz="0" w:space="0" w:color="auto"/>
                <w:left w:val="none" w:sz="0" w:space="0" w:color="auto"/>
                <w:bottom w:val="none" w:sz="0" w:space="0" w:color="auto"/>
                <w:right w:val="none" w:sz="0" w:space="0" w:color="auto"/>
              </w:divBdr>
              <w:divsChild>
                <w:div w:id="2123910935">
                  <w:marLeft w:val="0"/>
                  <w:marRight w:val="0"/>
                  <w:marTop w:val="0"/>
                  <w:marBottom w:val="0"/>
                  <w:divBdr>
                    <w:top w:val="none" w:sz="0" w:space="0" w:color="auto"/>
                    <w:left w:val="none" w:sz="0" w:space="0" w:color="auto"/>
                    <w:bottom w:val="none" w:sz="0" w:space="0" w:color="auto"/>
                    <w:right w:val="none" w:sz="0" w:space="0" w:color="auto"/>
                  </w:divBdr>
                  <w:divsChild>
                    <w:div w:id="190652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187274">
          <w:marLeft w:val="0"/>
          <w:marRight w:val="0"/>
          <w:marTop w:val="0"/>
          <w:marBottom w:val="0"/>
          <w:divBdr>
            <w:top w:val="none" w:sz="0" w:space="0" w:color="auto"/>
            <w:left w:val="none" w:sz="0" w:space="0" w:color="auto"/>
            <w:bottom w:val="none" w:sz="0" w:space="0" w:color="auto"/>
            <w:right w:val="none" w:sz="0" w:space="0" w:color="auto"/>
          </w:divBdr>
          <w:divsChild>
            <w:div w:id="1136531705">
              <w:marLeft w:val="0"/>
              <w:marRight w:val="0"/>
              <w:marTop w:val="0"/>
              <w:marBottom w:val="0"/>
              <w:divBdr>
                <w:top w:val="none" w:sz="0" w:space="0" w:color="auto"/>
                <w:left w:val="none" w:sz="0" w:space="0" w:color="auto"/>
                <w:bottom w:val="none" w:sz="0" w:space="0" w:color="auto"/>
                <w:right w:val="none" w:sz="0" w:space="0" w:color="auto"/>
              </w:divBdr>
              <w:divsChild>
                <w:div w:id="608661046">
                  <w:marLeft w:val="0"/>
                  <w:marRight w:val="0"/>
                  <w:marTop w:val="0"/>
                  <w:marBottom w:val="0"/>
                  <w:divBdr>
                    <w:top w:val="none" w:sz="0" w:space="0" w:color="auto"/>
                    <w:left w:val="none" w:sz="0" w:space="0" w:color="auto"/>
                    <w:bottom w:val="none" w:sz="0" w:space="0" w:color="auto"/>
                    <w:right w:val="none" w:sz="0" w:space="0" w:color="auto"/>
                  </w:divBdr>
                  <w:divsChild>
                    <w:div w:id="201695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121622">
      <w:bodyDiv w:val="1"/>
      <w:marLeft w:val="0"/>
      <w:marRight w:val="0"/>
      <w:marTop w:val="0"/>
      <w:marBottom w:val="0"/>
      <w:divBdr>
        <w:top w:val="none" w:sz="0" w:space="0" w:color="auto"/>
        <w:left w:val="none" w:sz="0" w:space="0" w:color="auto"/>
        <w:bottom w:val="none" w:sz="0" w:space="0" w:color="auto"/>
        <w:right w:val="none" w:sz="0" w:space="0" w:color="auto"/>
      </w:divBdr>
      <w:divsChild>
        <w:div w:id="1327049152">
          <w:marLeft w:val="0"/>
          <w:marRight w:val="0"/>
          <w:marTop w:val="0"/>
          <w:marBottom w:val="0"/>
          <w:divBdr>
            <w:top w:val="none" w:sz="0" w:space="0" w:color="auto"/>
            <w:left w:val="none" w:sz="0" w:space="0" w:color="auto"/>
            <w:bottom w:val="none" w:sz="0" w:space="0" w:color="auto"/>
            <w:right w:val="none" w:sz="0" w:space="0" w:color="auto"/>
          </w:divBdr>
          <w:divsChild>
            <w:div w:id="850992139">
              <w:marLeft w:val="0"/>
              <w:marRight w:val="0"/>
              <w:marTop w:val="0"/>
              <w:marBottom w:val="0"/>
              <w:divBdr>
                <w:top w:val="none" w:sz="0" w:space="0" w:color="auto"/>
                <w:left w:val="none" w:sz="0" w:space="0" w:color="auto"/>
                <w:bottom w:val="none" w:sz="0" w:space="0" w:color="auto"/>
                <w:right w:val="none" w:sz="0" w:space="0" w:color="auto"/>
              </w:divBdr>
              <w:divsChild>
                <w:div w:id="1258517433">
                  <w:marLeft w:val="0"/>
                  <w:marRight w:val="0"/>
                  <w:marTop w:val="0"/>
                  <w:marBottom w:val="0"/>
                  <w:divBdr>
                    <w:top w:val="none" w:sz="0" w:space="0" w:color="auto"/>
                    <w:left w:val="none" w:sz="0" w:space="0" w:color="auto"/>
                    <w:bottom w:val="none" w:sz="0" w:space="0" w:color="auto"/>
                    <w:right w:val="none" w:sz="0" w:space="0" w:color="auto"/>
                  </w:divBdr>
                  <w:divsChild>
                    <w:div w:id="170566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689373">
          <w:marLeft w:val="0"/>
          <w:marRight w:val="0"/>
          <w:marTop w:val="0"/>
          <w:marBottom w:val="0"/>
          <w:divBdr>
            <w:top w:val="none" w:sz="0" w:space="0" w:color="auto"/>
            <w:left w:val="none" w:sz="0" w:space="0" w:color="auto"/>
            <w:bottom w:val="none" w:sz="0" w:space="0" w:color="auto"/>
            <w:right w:val="none" w:sz="0" w:space="0" w:color="auto"/>
          </w:divBdr>
          <w:divsChild>
            <w:div w:id="556891380">
              <w:marLeft w:val="0"/>
              <w:marRight w:val="0"/>
              <w:marTop w:val="0"/>
              <w:marBottom w:val="0"/>
              <w:divBdr>
                <w:top w:val="none" w:sz="0" w:space="0" w:color="auto"/>
                <w:left w:val="none" w:sz="0" w:space="0" w:color="auto"/>
                <w:bottom w:val="none" w:sz="0" w:space="0" w:color="auto"/>
                <w:right w:val="none" w:sz="0" w:space="0" w:color="auto"/>
              </w:divBdr>
              <w:divsChild>
                <w:div w:id="1062946545">
                  <w:marLeft w:val="0"/>
                  <w:marRight w:val="0"/>
                  <w:marTop w:val="0"/>
                  <w:marBottom w:val="0"/>
                  <w:divBdr>
                    <w:top w:val="none" w:sz="0" w:space="0" w:color="auto"/>
                    <w:left w:val="none" w:sz="0" w:space="0" w:color="auto"/>
                    <w:bottom w:val="none" w:sz="0" w:space="0" w:color="auto"/>
                    <w:right w:val="none" w:sz="0" w:space="0" w:color="auto"/>
                  </w:divBdr>
                  <w:divsChild>
                    <w:div w:id="94997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780221">
      <w:bodyDiv w:val="1"/>
      <w:marLeft w:val="0"/>
      <w:marRight w:val="0"/>
      <w:marTop w:val="0"/>
      <w:marBottom w:val="0"/>
      <w:divBdr>
        <w:top w:val="none" w:sz="0" w:space="0" w:color="auto"/>
        <w:left w:val="none" w:sz="0" w:space="0" w:color="auto"/>
        <w:bottom w:val="none" w:sz="0" w:space="0" w:color="auto"/>
        <w:right w:val="none" w:sz="0" w:space="0" w:color="auto"/>
      </w:divBdr>
    </w:div>
    <w:div w:id="1872718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1947EF-B191-4721-9440-3BE62DC49C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2</Pages>
  <Words>288</Words>
  <Characters>1648</Characters>
  <Application>Microsoft Office Word</Application>
  <DocSecurity>0</DocSecurity>
  <Lines>13</Lines>
  <Paragraphs>3</Paragraphs>
  <ScaleCrop>false</ScaleCrop>
  <Company/>
  <LinksUpToDate>false</LinksUpToDate>
  <CharactersWithSpaces>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Chintakindi</dc:creator>
  <cp:keywords/>
  <dc:description/>
  <cp:lastModifiedBy>Meera Vanmali</cp:lastModifiedBy>
  <cp:revision>3</cp:revision>
  <dcterms:created xsi:type="dcterms:W3CDTF">2024-10-28T00:38:00Z</dcterms:created>
  <dcterms:modified xsi:type="dcterms:W3CDTF">2024-10-29T04:08:00Z</dcterms:modified>
</cp:coreProperties>
</file>