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5243A" w:sz="14" w:space="10"/>
        </w:pBdr>
        <w:spacing w:after="260" w:before="500"/>
        <w:jc w:val="center"/>
      </w:pPr>
      <w:r>
        <w:rPr>
          <w:b/>
          <w:bCs/>
          <w:color w:val="15243A"/>
          <w:sz w:val="34"/>
          <w:szCs w:val="34"/>
        </w:rPr>
        <w:t xml:space="preserve">MINUTA PARAMETRIZADA — CONTRATO DE PRESTAÇÃO DE SERVIÇOS V2G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A800" w:sz="8"/>
              <w:left w:val="single" w:color="E0A800" w:sz="8"/>
              <w:bottom w:val="single" w:color="E0A800" w:sz="8"/>
              <w:right w:val="single" w:color="E0A800" w:sz="8"/>
            </w:tcBorders>
            <w:shd w:fill="FFF3CD" w:color="auto" w:val="clear"/>
            <w:tcMar>
              <w:top w:type="dxa" w:w="140"/>
              <w:left w:type="dxa" w:w="160"/>
              <w:bottom w:type="dxa" w:w="140"/>
              <w:right w:type="dxa" w:w="160"/>
            </w:tcMar>
          </w:tcPr>
          <w:p>
            <w:pPr>
              <w:spacing w:after="0"/>
            </w:pPr>
            <w:r>
              <w:rPr>
                <w:b/>
                <w:bCs/>
                <w:color w:val="6B5200"/>
                <w:sz w:val="20"/>
                <w:szCs w:val="20"/>
              </w:rPr>
              <w:t xml:space="preserve">STATUS: MINUTA INTERNA PARA REVISÃO JURÍDICA. NÃO ENVIAR PARA ASSINATURA.</w:t>
            </w:r>
            <w:r>
              <w:rPr>
                <w:b/>
                <w:bCs/>
                <w:color w:val="6B5200"/>
                <w:sz w:val="20"/>
                <w:szCs w:val="20"/>
              </w:rPr>
              <w:t xml:space="preserve"> Este documento não é parecer jurídico, contrato vigente ou prova de contratação. Campos não preenchidos, decisões pendentes e dados sem procedência validada impedem o envio para assinatura. A versão destinada à assinatura deverá ser aprovada e identificada expressamente pelo advogado responsável.</w:t>
            </w:r>
          </w:p>
        </w:tc>
      </w:tr>
    </w:tbl>
    <w:p>
      <w:pPr>
        <w:spacing w:after="120"/>
      </w:pPr>
    </w:p>
    <w:p>
      <w:pPr>
        <w:keepLines/>
        <w:spacing w:after="105" w:line="300"/>
      </w:pPr>
      <w:r>
        <w:rPr>
          <w:b/>
          <w:bCs/>
        </w:rPr>
        <w:t xml:space="preserve">Versão deste arquivo-base:</w:t>
      </w:r>
      <w:r>
        <w:t xml:space="preserve"> </w:t>
      </w:r>
      <w:r>
        <w:rPr>
          <w:rFonts w:ascii="Consolas" w:cs="Consolas" w:eastAsia="Consolas" w:hAnsi="Consolas"/>
          <w:color w:val="23395B"/>
          <w:sz w:val="19"/>
          <w:szCs w:val="19"/>
          <w:shd w:fill="EEF2F7" w:color="auto" w:val="clear"/>
        </w:rPr>
        <w:t xml:space="preserve">minuta-interna-2026-10-09-v1</w:t>
      </w:r>
    </w:p>
    <w:p>
      <w:pPr>
        <w:keepLines/>
        <w:spacing w:after="105" w:line="300"/>
      </w:pPr>
      <w:r>
        <w:rPr>
          <w:b/>
          <w:bCs/>
        </w:rPr>
        <w:t xml:space="preserve">Data da redação:</w:t>
      </w:r>
      <w:r>
        <w:t xml:space="preserve"> 09/10/2026</w:t>
      </w:r>
    </w:p>
    <w:p>
      <w:pPr>
        <w:keepLines/>
        <w:spacing w:after="105" w:line="300"/>
      </w:pPr>
      <w:r>
        <w:rPr>
          <w:b/>
          <w:bCs/>
        </w:rPr>
        <w:t xml:space="preserve">Aprovação jurídica:</w:t>
      </w:r>
      <w:r>
        <w:t xml:space="preserve"> inexistente nesta versão</w:t>
      </w:r>
    </w:p>
    <w:p>
      <w:pPr>
        <w:keepLines/>
        <w:spacing w:after="105" w:line="300"/>
      </w:pPr>
      <w:r>
        <w:rPr>
          <w:b/>
          <w:bCs/>
        </w:rPr>
        <w:t xml:space="preserve">Versão da minuta:</w:t>
      </w:r>
      <w:r>
        <w:t xml:space="preserve"> </w:t>
      </w:r>
      <w:r>
        <w:rPr>
          <w:rFonts w:ascii="Consolas" w:cs="Consolas" w:eastAsia="Consolas" w:hAnsi="Consolas"/>
          <w:color w:val="23395B"/>
          <w:sz w:val="19"/>
          <w:szCs w:val="19"/>
          <w:shd w:fill="EEF2F7" w:color="auto" w:val="clear"/>
        </w:rPr>
        <w:t xml:space="preserve">{{contrato.versao_minuta}}</w:t>
      </w:r>
    </w:p>
    <w:p>
      <w:pPr>
        <w:keepLines/>
        <w:spacing w:after="105" w:line="300"/>
      </w:pPr>
      <w:r>
        <w:rPr>
          <w:b/>
          <w:bCs/>
        </w:rPr>
        <w:t xml:space="preserve">Versão do documento:</w:t>
      </w:r>
      <w:r>
        <w:t xml:space="preserve"> </w:t>
      </w:r>
      <w:r>
        <w:rPr>
          <w:rFonts w:ascii="Consolas" w:cs="Consolas" w:eastAsia="Consolas" w:hAnsi="Consolas"/>
          <w:color w:val="23395B"/>
          <w:sz w:val="19"/>
          <w:szCs w:val="19"/>
          <w:shd w:fill="EEF2F7" w:color="auto" w:val="clear"/>
        </w:rPr>
        <w:t xml:space="preserve">{{contrato.versao_documento}}</w:t>
      </w:r>
    </w:p>
    <w:p>
      <w:pPr>
        <w:keepLines/>
        <w:spacing w:after="105" w:line="300"/>
      </w:pPr>
      <w:r>
        <w:rPr>
          <w:b/>
          <w:bCs/>
        </w:rPr>
        <w:t xml:space="preserve">Pedido:</w:t>
      </w:r>
      <w:r>
        <w:t xml:space="preserve"> </w:t>
      </w:r>
      <w:r>
        <w:rPr>
          <w:rFonts w:ascii="Consolas" w:cs="Consolas" w:eastAsia="Consolas" w:hAnsi="Consolas"/>
          <w:color w:val="23395B"/>
          <w:sz w:val="19"/>
          <w:szCs w:val="19"/>
          <w:shd w:fill="EEF2F7" w:color="auto" w:val="clear"/>
        </w:rPr>
        <w:t xml:space="preserve">{{pedido.id}}</w:t>
      </w:r>
    </w:p>
    <w:p>
      <w:pPr>
        <w:keepLines/>
        <w:spacing w:after="105" w:line="300"/>
      </w:pPr>
      <w:r>
        <w:rPr>
          <w:b/>
          <w:bCs/>
        </w:rPr>
        <w:t xml:space="preserve">Gerado em:</w:t>
      </w:r>
      <w:r>
        <w:t xml:space="preserve"> </w:t>
      </w:r>
      <w:r>
        <w:rPr>
          <w:rFonts w:ascii="Consolas" w:cs="Consolas" w:eastAsia="Consolas" w:hAnsi="Consolas"/>
          <w:color w:val="23395B"/>
          <w:sz w:val="19"/>
          <w:szCs w:val="19"/>
          <w:shd w:fill="EEF2F7" w:color="auto" w:val="clear"/>
        </w:rPr>
        <w:t xml:space="preserve">{{contrato.gerado_em}}</w:t>
      </w:r>
    </w:p>
    <w:p>
      <w:pPr>
        <w:keepLines/>
        <w:spacing w:after="105" w:line="300"/>
      </w:pPr>
      <w:r>
        <w:rPr>
          <w:b/>
          <w:bCs/>
        </w:rPr>
        <w:t xml:space="preserve">Hash do conteúdo gerado:</w:t>
      </w:r>
      <w:r>
        <w:t xml:space="preserve"> </w:t>
      </w:r>
      <w:r>
        <w:rPr>
          <w:rFonts w:ascii="Consolas" w:cs="Consolas" w:eastAsia="Consolas" w:hAnsi="Consolas"/>
          <w:color w:val="23395B"/>
          <w:sz w:val="19"/>
          <w:szCs w:val="19"/>
          <w:shd w:fill="EEF2F7" w:color="auto" w:val="clear"/>
        </w:rPr>
        <w:t xml:space="preserve">{{contrato.hash_conteudo}}</w:t>
      </w:r>
    </w:p>
    <w:p>
      <w:pPr>
        <w:pStyle w:val="Heading2"/>
        <w:keepNext/>
      </w:pPr>
      <w:r>
        <w:t xml:space="preserve">PARTES</w:t>
      </w:r>
    </w:p>
    <w:p>
      <w:pPr>
        <w:keepLines/>
        <w:spacing w:after="105" w:line="300"/>
      </w:pPr>
      <w:r>
        <w:rPr>
          <w:b/>
          <w:bCs/>
        </w:rPr>
        <w:t xml:space="preserve">CONTRATADA:</w:t>
      </w:r>
      <w:r>
        <w:t xml:space="preserve"> V2G AGÊNCIAS DE PUBLICIDADE LTDA., inscrita no CNPJ sob nº </w:t>
      </w:r>
      <w:r>
        <w:rPr>
          <w:rFonts w:ascii="Consolas" w:cs="Consolas" w:eastAsia="Consolas" w:hAnsi="Consolas"/>
          <w:color w:val="23395B"/>
          <w:sz w:val="19"/>
          <w:szCs w:val="19"/>
          <w:shd w:fill="EEF2F7" w:color="auto" w:val="clear"/>
        </w:rPr>
        <w:t xml:space="preserve">{{prestador.cnpj}}</w:t>
      </w:r>
      <w:r>
        <w:t xml:space="preserve">, com endereço contratual em </w:t>
      </w:r>
      <w:r>
        <w:rPr>
          <w:rFonts w:ascii="Consolas" w:cs="Consolas" w:eastAsia="Consolas" w:hAnsi="Consolas"/>
          <w:color w:val="23395B"/>
          <w:sz w:val="19"/>
          <w:szCs w:val="19"/>
          <w:shd w:fill="EEF2F7" w:color="auto" w:val="clear"/>
        </w:rPr>
        <w:t xml:space="preserve">{{prestador.endereco_contratual_validado}}</w:t>
      </w:r>
      <w:r>
        <w:t xml:space="preserve">, neste ato representada por Victor Cabral Nascimento Silva, na qualidade de </w:t>
      </w:r>
      <w:r>
        <w:rPr>
          <w:rFonts w:ascii="Consolas" w:cs="Consolas" w:eastAsia="Consolas" w:hAnsi="Consolas"/>
          <w:color w:val="23395B"/>
          <w:sz w:val="19"/>
          <w:szCs w:val="19"/>
          <w:shd w:fill="EEF2F7" w:color="auto" w:val="clear"/>
        </w:rPr>
        <w:t xml:space="preserve">{{prestador.representante_qualificacao_validada}}</w:t>
      </w:r>
      <w:r>
        <w:t xml:space="preserve">, doravante denominada </w:t>
      </w:r>
      <w:r>
        <w:rPr>
          <w:b/>
          <w:bCs/>
        </w:rPr>
        <w:t xml:space="preserve">V2G</w:t>
      </w:r>
      <w:r>
        <w:t xml:space="preserve">.</w:t>
      </w:r>
    </w:p>
    <w:p>
      <w:pPr>
        <w:keepLines/>
        <w:spacing w:after="105" w:line="300"/>
      </w:pPr>
      <w:r>
        <w:rPr>
          <w:b/>
          <w:bCs/>
        </w:rPr>
        <w:t xml:space="preserve">CONTRATANTE:</w:t>
      </w:r>
      <w:r>
        <w:t xml:space="preserve"> </w:t>
      </w:r>
      <w:r>
        <w:rPr>
          <w:rFonts w:ascii="Consolas" w:cs="Consolas" w:eastAsia="Consolas" w:hAnsi="Consolas"/>
          <w:color w:val="23395B"/>
          <w:sz w:val="19"/>
          <w:szCs w:val="19"/>
          <w:shd w:fill="EEF2F7" w:color="auto" w:val="clear"/>
        </w:rPr>
        <w:t xml:space="preserve">{{contratante.razao_social}}</w:t>
      </w:r>
      <w:r>
        <w:t xml:space="preserve">, nome fantasia </w:t>
      </w:r>
      <w:r>
        <w:rPr>
          <w:rFonts w:ascii="Consolas" w:cs="Consolas" w:eastAsia="Consolas" w:hAnsi="Consolas"/>
          <w:color w:val="23395B"/>
          <w:sz w:val="19"/>
          <w:szCs w:val="19"/>
          <w:shd w:fill="EEF2F7" w:color="auto" w:val="clear"/>
        </w:rPr>
        <w:t xml:space="preserve">{{contratante.nome_fantasia}}</w:t>
      </w:r>
      <w:r>
        <w:t xml:space="preserve">, inscrita no CNPJ sob nº </w:t>
      </w:r>
      <w:r>
        <w:rPr>
          <w:rFonts w:ascii="Consolas" w:cs="Consolas" w:eastAsia="Consolas" w:hAnsi="Consolas"/>
          <w:color w:val="23395B"/>
          <w:sz w:val="19"/>
          <w:szCs w:val="19"/>
          <w:shd w:fill="EEF2F7" w:color="auto" w:val="clear"/>
        </w:rPr>
        <w:t xml:space="preserve">{{contratante.cnpj}}</w:t>
      </w:r>
      <w:r>
        <w:t xml:space="preserve">, com endereço em </w:t>
      </w:r>
      <w:r>
        <w:rPr>
          <w:rFonts w:ascii="Consolas" w:cs="Consolas" w:eastAsia="Consolas" w:hAnsi="Consolas"/>
          <w:color w:val="23395B"/>
          <w:sz w:val="19"/>
          <w:szCs w:val="19"/>
          <w:shd w:fill="EEF2F7" w:color="auto" w:val="clear"/>
        </w:rPr>
        <w:t xml:space="preserve">{{contratante.endereco}}</w:t>
      </w:r>
      <w:r>
        <w:t xml:space="preserve">, e-mail contratual </w:t>
      </w:r>
      <w:r>
        <w:rPr>
          <w:rFonts w:ascii="Consolas" w:cs="Consolas" w:eastAsia="Consolas" w:hAnsi="Consolas"/>
          <w:color w:val="23395B"/>
          <w:sz w:val="19"/>
          <w:szCs w:val="19"/>
          <w:shd w:fill="EEF2F7" w:color="auto" w:val="clear"/>
        </w:rPr>
        <w:t xml:space="preserve">{{contratante.email_da_compra}}</w:t>
      </w:r>
      <w:r>
        <w:t xml:space="preserve"> e telefone </w:t>
      </w:r>
      <w:r>
        <w:rPr>
          <w:rFonts w:ascii="Consolas" w:cs="Consolas" w:eastAsia="Consolas" w:hAnsi="Consolas"/>
          <w:color w:val="23395B"/>
          <w:sz w:val="19"/>
          <w:szCs w:val="19"/>
          <w:shd w:fill="EEF2F7" w:color="auto" w:val="clear"/>
        </w:rPr>
        <w:t xml:space="preserve">{{contratante.whatsapp}}</w:t>
      </w:r>
      <w:r>
        <w:t xml:space="preserve">, neste ato representada por </w:t>
      </w:r>
      <w:r>
        <w:rPr>
          <w:rFonts w:ascii="Consolas" w:cs="Consolas" w:eastAsia="Consolas" w:hAnsi="Consolas"/>
          <w:color w:val="23395B"/>
          <w:sz w:val="19"/>
          <w:szCs w:val="19"/>
          <w:shd w:fill="EEF2F7" w:color="auto" w:val="clear"/>
        </w:rPr>
        <w:t xml:space="preserve">{{signatario.nome}}</w:t>
      </w:r>
      <w:r>
        <w:t xml:space="preserve">, CPF nº </w:t>
      </w:r>
      <w:r>
        <w:rPr>
          <w:rFonts w:ascii="Consolas" w:cs="Consolas" w:eastAsia="Consolas" w:hAnsi="Consolas"/>
          <w:color w:val="23395B"/>
          <w:sz w:val="19"/>
          <w:szCs w:val="19"/>
          <w:shd w:fill="EEF2F7" w:color="auto" w:val="clear"/>
        </w:rPr>
        <w:t xml:space="preserve">{{signatario.cpf}}</w:t>
      </w:r>
      <w:r>
        <w:t xml:space="preserve">, na qualidade de </w:t>
      </w:r>
      <w:r>
        <w:rPr>
          <w:rFonts w:ascii="Consolas" w:cs="Consolas" w:eastAsia="Consolas" w:hAnsi="Consolas"/>
          <w:color w:val="23395B"/>
          <w:sz w:val="19"/>
          <w:szCs w:val="19"/>
          <w:shd w:fill="EEF2F7" w:color="auto" w:val="clear"/>
        </w:rPr>
        <w:t xml:space="preserve">{{signatario.papel_e_poderes}}</w:t>
      </w:r>
      <w:r>
        <w:t xml:space="preserve">, doravante denominada </w:t>
      </w:r>
      <w:r>
        <w:rPr>
          <w:b/>
          <w:bCs/>
        </w:rPr>
        <w:t xml:space="preserve">CONTRATANTE</w:t>
      </w:r>
      <w:r>
        <w:t xml:space="preserve">.</w:t>
      </w:r>
    </w:p>
    <w:p>
      <w:pPr>
        <w:keepLines/>
        <w:spacing w:after="105" w:line="300"/>
      </w:pPr>
      <w:r>
        <w:t xml:space="preserve">O representante da CONTRATANTE declara possuir poderes suficientes para celebrar este contrato. A V2G não deve inferir esses poderes apenas pela posse do e-mail, pelo pagamento ou pelo acesso ao WebApp.</w:t>
      </w:r>
    </w:p>
    <w:p>
      <w:pPr>
        <w:keepLines/>
        <w:spacing w:after="105" w:line="300"/>
      </w:pPr>
      <w:r>
        <w:t xml:space="preserve">As partes resolvem celebrar este Contrato de Prestação de Serviços, sujeito às cláusulas seguintes e aos anexos que o integram.</w:t>
      </w:r>
    </w:p>
    <w:p>
      <w:pPr>
        <w:pStyle w:val="Heading2"/>
        <w:keepNext/>
      </w:pPr>
      <w:r>
        <w:t xml:space="preserve">1. OBJETO</w:t>
      </w:r>
    </w:p>
    <w:p>
      <w:pPr>
        <w:keepLines/>
        <w:spacing w:after="105" w:line="300"/>
      </w:pPr>
      <w:r>
        <w:t xml:space="preserve">1.1. A V2G prestará serviços de gestão de tráfego pago para as contas de anúncios identificadas no </w:t>
      </w:r>
      <w:r>
        <w:rPr>
          <w:b/>
          <w:bCs/>
        </w:rPr>
        <w:t xml:space="preserve">Anexo A</w:t>
      </w:r>
      <w:r>
        <w:t xml:space="preserve">, mediante tecnologia própria e acompanhamento de sua equipe.</w:t>
      </w:r>
    </w:p>
    <w:p>
      <w:pPr>
        <w:keepLines/>
        <w:spacing w:after="105" w:line="300"/>
      </w:pPr>
      <w:r>
        <w:t xml:space="preserve">1.2. Dentro do escopo contratado, a prestação poderá compreender:</w:t>
      </w:r>
    </w:p>
    <w:p>
      <w:pPr>
        <w:keepLines/>
        <w:spacing w:after="105" w:line="300"/>
        <w:ind w:left="320" w:hanging="220"/>
      </w:pPr>
      <w:r>
        <w:t xml:space="preserve">a) coleta e organização de informações sobre o negócio, a oferta, o público e a forma de venda;</w:t>
      </w:r>
    </w:p>
    <w:p>
      <w:pPr>
        <w:keepLines/>
        <w:spacing w:after="105" w:line="300"/>
        <w:ind w:left="320" w:hanging="220"/>
      </w:pPr>
      <w:r>
        <w:t xml:space="preserve">b) análise dos materiais disponibilizados pela CONTRATANTE;</w:t>
      </w:r>
    </w:p>
    <w:p>
      <w:pPr>
        <w:keepLines/>
        <w:spacing w:after="105" w:line="300"/>
        <w:ind w:left="320" w:hanging="220"/>
      </w:pPr>
      <w:r>
        <w:t xml:space="preserve">c) estruturação de oferta, textos e orientações para peças publicitárias;</w:t>
      </w:r>
    </w:p>
    <w:p>
      <w:pPr>
        <w:keepLines/>
        <w:spacing w:after="105" w:line="300"/>
        <w:ind w:left="320" w:hanging="220"/>
      </w:pPr>
      <w:r>
        <w:t xml:space="preserve">d) criação ou apoio à criação de peças estáticas, inclusive com auxílio de inteligência artificial, quando aplicável;</w:t>
      </w:r>
    </w:p>
    <w:p>
      <w:pPr>
        <w:keepLines/>
        <w:spacing w:after="105" w:line="300"/>
        <w:ind w:left="320" w:hanging="220"/>
      </w:pPr>
      <w:r>
        <w:t xml:space="preserve">e) configuração, publicação e acompanhamento de campanhas nas plataformas previstas no Anexo A;</w:t>
      </w:r>
    </w:p>
    <w:p>
      <w:pPr>
        <w:keepLines/>
        <w:spacing w:after="105" w:line="300"/>
        <w:ind w:left="320" w:hanging="220"/>
      </w:pPr>
      <w:r>
        <w:t xml:space="preserve">f) ajustes operacionais dentro da verba previamente aprovada; e</w:t>
      </w:r>
    </w:p>
    <w:p>
      <w:pPr>
        <w:keepLines/>
        <w:spacing w:after="105" w:line="300"/>
        <w:ind w:left="320" w:hanging="220"/>
      </w:pPr>
      <w:r>
        <w:t xml:space="preserve">g) apresentação das informações de desempenho disponíveis, sem confundir contatos ou conversas com vendas ou receita comprovada.</w:t>
      </w:r>
    </w:p>
    <w:p>
      <w:pPr>
        <w:keepLines/>
        <w:spacing w:after="105" w:line="300"/>
      </w:pPr>
      <w:r>
        <w:t xml:space="preserve">1.3. A primeira campanha será preparada e publicada </w:t>
      </w:r>
      <w:r>
        <w:rPr>
          <w:b/>
          <w:bCs/>
        </w:rPr>
        <w:t xml:space="preserve">manualmente por gestor da V2G</w:t>
      </w:r>
      <w:r>
        <w:t xml:space="preserve">, somente depois de cumpridas, cumulativamente, as condições da Cláusula 4.</w:t>
      </w:r>
    </w:p>
    <w:p>
      <w:pPr>
        <w:keepLines/>
        <w:spacing w:after="105" w:line="300"/>
      </w:pPr>
      <w:r>
        <w:t xml:space="preserve">1.4. Não fazem parte do escopo, salvo contratação expressa e escrita:</w:t>
      </w:r>
    </w:p>
    <w:p>
      <w:pPr>
        <w:keepLines/>
        <w:spacing w:after="105" w:line="300"/>
        <w:ind w:left="320" w:hanging="220"/>
      </w:pPr>
      <w:r>
        <w:t xml:space="preserve">a) verba de mídia;</w:t>
      </w:r>
    </w:p>
    <w:p>
      <w:pPr>
        <w:keepLines/>
        <w:spacing w:after="105" w:line="300"/>
        <w:ind w:left="320" w:hanging="220"/>
      </w:pPr>
      <w:r>
        <w:t xml:space="preserve">b) atendimento, negociação ou fechamento com os contatos recebidos;</w:t>
      </w:r>
    </w:p>
    <w:p>
      <w:pPr>
        <w:keepLines/>
        <w:spacing w:after="105" w:line="300"/>
        <w:ind w:left="320" w:hanging="220"/>
      </w:pPr>
      <w:r>
        <w:t xml:space="preserve">c) gestão de conteúdo orgânico e redes sociais;</w:t>
      </w:r>
    </w:p>
    <w:p>
      <w:pPr>
        <w:keepLines/>
        <w:spacing w:after="105" w:line="300"/>
        <w:ind w:left="320" w:hanging="220"/>
      </w:pPr>
      <w:r>
        <w:t xml:space="preserve">d) produção, gravação ou edição de vídeos;</w:t>
      </w:r>
    </w:p>
    <w:p>
      <w:pPr>
        <w:keepLines/>
        <w:spacing w:after="105" w:line="300"/>
        <w:ind w:left="320" w:hanging="220"/>
      </w:pPr>
      <w:r>
        <w:t xml:space="preserve">e) desenvolvimento de sites, landing pages ou sistemas de CRM;</w:t>
      </w:r>
    </w:p>
    <w:p>
      <w:pPr>
        <w:keepLines/>
        <w:spacing w:after="105" w:line="300"/>
        <w:ind w:left="320" w:hanging="220"/>
      </w:pPr>
      <w:r>
        <w:t xml:space="preserve">f) campanhas em plataformas não identificadas no Anexo A; e</w:t>
      </w:r>
    </w:p>
    <w:p>
      <w:pPr>
        <w:keepLines/>
        <w:spacing w:after="105" w:line="300"/>
        <w:ind w:left="320" w:hanging="220"/>
      </w:pPr>
      <w:r>
        <w:t xml:space="preserve">g) qualquer garantia de quantidade de contatos, vendas, faturamento ou retorno financeiro.</w:t>
      </w:r>
    </w:p>
    <w:p>
      <w:pPr>
        <w:keepLines/>
        <w:spacing w:after="105" w:line="300"/>
      </w:pPr>
      <w:r>
        <w:t xml:space="preserve">1.5. Serviços adicionais exigem novo pedido, aditivo ou novo contrato, conforme a natureza da alteração. Mensagens informais não ampliam silenciosamente o escopo.</w:t>
      </w:r>
    </w:p>
    <w:p>
      <w:pPr>
        <w:pStyle w:val="Heading2"/>
        <w:keepNext/>
      </w:pPr>
      <w:r>
        <w:t xml:space="preserve">2. UNIDADE CONTRATADA E SEPARAÇÃO ENTRE EMPRESAS</w:t>
      </w:r>
    </w:p>
    <w:p>
      <w:pPr>
        <w:keepLines/>
        <w:spacing w:after="105" w:line="300"/>
      </w:pPr>
      <w:r>
        <w:t xml:space="preserve">2.1. A unidade de contratação e cobrança é cada </w:t>
      </w:r>
      <w:r>
        <w:rPr>
          <w:b/>
          <w:bCs/>
        </w:rPr>
        <w:t xml:space="preserve">conta de anúncios</w:t>
      </w:r>
      <w:r>
        <w:t xml:space="preserve">.</w:t>
      </w:r>
    </w:p>
    <w:p>
      <w:pPr>
        <w:keepLines/>
        <w:spacing w:after="105" w:line="300"/>
      </w:pPr>
      <w:r>
        <w:t xml:space="preserve">2.2. Este contrato abrange </w:t>
      </w:r>
      <w:r>
        <w:rPr>
          <w:rFonts w:ascii="Consolas" w:cs="Consolas" w:eastAsia="Consolas" w:hAnsi="Consolas"/>
          <w:color w:val="23395B"/>
          <w:sz w:val="19"/>
          <w:szCs w:val="19"/>
          <w:shd w:fill="EEF2F7" w:color="auto" w:val="clear"/>
        </w:rPr>
        <w:t xml:space="preserve">{{pedido.quantidade_de_contas}}</w:t>
      </w:r>
      <w:r>
        <w:t xml:space="preserve"> conta(s) de anúncios, individualizadas no Anexo A.</w:t>
      </w:r>
    </w:p>
    <w:p>
      <w:pPr>
        <w:keepLines/>
        <w:spacing w:after="105" w:line="300"/>
      </w:pPr>
      <w:r>
        <w:t xml:space="preserve">2.3. Um mesmo comprador ou e-mail pode administrar mais de uma empresa. Cada CNPJ contratante deverá possuir pedido e documento contratual próprios. Não serão misturados entre CNPJs distintos:</w:t>
      </w:r>
    </w:p>
    <w:p>
      <w:pPr>
        <w:keepLines/>
        <w:spacing w:after="105" w:line="300"/>
        <w:ind w:left="320" w:hanging="220"/>
      </w:pPr>
      <w:r>
        <w:t xml:space="preserve">a) titularidade das contas e ativos;</w:t>
      </w:r>
    </w:p>
    <w:p>
      <w:pPr>
        <w:keepLines/>
        <w:spacing w:after="105" w:line="300"/>
        <w:ind w:left="320" w:hanging="220"/>
      </w:pPr>
      <w:r>
        <w:t xml:space="preserve">b) preço e quantidade contratada;</w:t>
      </w:r>
    </w:p>
    <w:p>
      <w:pPr>
        <w:keepLines/>
        <w:spacing w:after="105" w:line="300"/>
        <w:ind w:left="320" w:hanging="220"/>
      </w:pPr>
      <w:r>
        <w:t xml:space="preserve">c) verba de mídia;</w:t>
      </w:r>
    </w:p>
    <w:p>
      <w:pPr>
        <w:keepLines/>
        <w:spacing w:after="105" w:line="300"/>
        <w:ind w:left="320" w:hanging="220"/>
      </w:pPr>
      <w:r>
        <w:t xml:space="preserve">d) campanhas, materiais ou resultados;</w:t>
      </w:r>
    </w:p>
    <w:p>
      <w:pPr>
        <w:keepLines/>
        <w:spacing w:after="105" w:line="300"/>
        <w:ind w:left="320" w:hanging="220"/>
      </w:pPr>
      <w:r>
        <w:t xml:space="preserve">e) obrigações fiscais; ou</w:t>
      </w:r>
    </w:p>
    <w:p>
      <w:pPr>
        <w:keepLines/>
        <w:spacing w:after="105" w:line="300"/>
        <w:ind w:left="320" w:hanging="220"/>
      </w:pPr>
      <w:r>
        <w:t xml:space="preserve">f) encerramento e efeitos financeiros.</w:t>
      </w:r>
    </w:p>
    <w:p>
      <w:pPr>
        <w:keepLines/>
        <w:spacing w:after="105" w:line="300"/>
      </w:pPr>
      <w:r>
        <w:t xml:space="preserve">2.4. Dentro do mesmo CNPJ, cada conta de anúncios constitui unidade própria. A repetição da mesma conta não cria nova unidade, e a substituição de uma conta por outra depende de procedimento operacional aprovado, sem presunção automática de cobrança ou gratuidade.</w:t>
      </w:r>
    </w:p>
    <w:p>
      <w:pPr>
        <w:pStyle w:val="Heading2"/>
        <w:keepNext/>
      </w:pPr>
      <w:r>
        <w:t xml:space="preserve">3. NATUREZA DA OBRIGAÇÃO E AUSÊNCIA DE GARANTIA</w:t>
      </w:r>
    </w:p>
    <w:p>
      <w:pPr>
        <w:keepLines/>
        <w:spacing w:after="105" w:line="300"/>
      </w:pPr>
      <w:r>
        <w:t xml:space="preserve">3.1. A obrigação da V2G é de meio. A V2G empregará diligência técnica na execução do escopo, mas não garante resultado econômico.</w:t>
      </w:r>
    </w:p>
    <w:p>
      <w:pPr>
        <w:keepLines/>
        <w:spacing w:after="105" w:line="300"/>
      </w:pPr>
      <w:r>
        <w:t xml:space="preserve">3.2. Não são prometidos quantidade de contatos, vendas, faturamento, custo por contato, retorno sobre investimento, prazo fixo de aprovação das plataformas ou data de publicação sem que todas as dependências estejam concluídas.</w:t>
      </w:r>
    </w:p>
    <w:p>
      <w:pPr>
        <w:keepLines/>
        <w:spacing w:after="105" w:line="300"/>
      </w:pPr>
      <w:r>
        <w:t xml:space="preserve">3.3. O desempenho depende de fatores que não estão sob controle exclusivo da V2G, incluindo oferta, preço, materiais, atendimento do cliente, orçamento, sazonalidade, concorrência e regras das plataformas.</w:t>
      </w:r>
    </w:p>
    <w:p>
      <w:pPr>
        <w:keepLines/>
        <w:spacing w:after="105" w:line="300"/>
      </w:pPr>
      <w:r>
        <w:t xml:space="preserve">3.4. Projeções, estimativas e recomendações são referências para decisão e não garantia de resultado.</w:t>
      </w:r>
    </w:p>
    <w:p>
      <w:pPr>
        <w:pStyle w:val="Heading2"/>
        <w:keepNext/>
      </w:pPr>
      <w:r>
        <w:t xml:space="preserve">4. PAGAMENTO, ACESSO, ASSINATURA E PRIMEIRA PUBLICAÇÃO</w:t>
      </w:r>
    </w:p>
    <w:p>
      <w:pPr>
        <w:keepLines/>
        <w:spacing w:after="105" w:line="300"/>
      </w:pPr>
      <w:r>
        <w:t xml:space="preserve">4.1. O acesso ao WebApp pode ser liberado após o pagamento ser aprovado pela V2G ou confirmado por evento verificável do provedor de pagamento aplicável.</w:t>
      </w:r>
    </w:p>
    <w:p>
      <w:pPr>
        <w:keepLines/>
        <w:spacing w:after="105" w:line="300"/>
      </w:pPr>
      <w:r>
        <w:t xml:space="preserve">4.2. Comprovante enviado, página de sucesso ou tentativa de cobrança não equivalem, isoladamente, a pagamento liquidado. No fluxo assistido por Pix, a aprovação humana identificada pela V2G é evento distinto do recebimento do comprovante.</w:t>
      </w:r>
    </w:p>
    <w:p>
      <w:pPr>
        <w:keepLines/>
        <w:spacing w:after="105" w:line="300"/>
      </w:pPr>
      <w:r>
        <w:t xml:space="preserve">4.3. Depois da liberação do acesso, a CONTRATANTE poderá realizar o onboarding e escolher uma reunião, ainda que a assinatura esteja pendente.</w:t>
      </w:r>
    </w:p>
    <w:p>
      <w:pPr>
        <w:keepLines/>
        <w:spacing w:after="105" w:line="300"/>
      </w:pPr>
      <w:r>
        <w:t xml:space="preserve">4.4. A liberação do WebApp, o preenchimento do onboarding e a realização da reunião não significam que o contrato foi assinado nem que a campanha está pronta ou publicada.</w:t>
      </w:r>
    </w:p>
    <w:p>
      <w:pPr>
        <w:keepLines/>
        <w:spacing w:after="105" w:line="300"/>
      </w:pPr>
      <w:r>
        <w:t xml:space="preserve">4.5. A primeira campanha somente poderá ser publicada depois de todos os seguintes eventos:</w:t>
      </w:r>
    </w:p>
    <w:p>
      <w:pPr>
        <w:keepLines/>
        <w:spacing w:after="105" w:line="300"/>
        <w:ind w:left="320" w:hanging="220"/>
      </w:pPr>
      <w:r>
        <w:t xml:space="preserve">a) pagamento aprovado;</w:t>
      </w:r>
    </w:p>
    <w:p>
      <w:pPr>
        <w:keepLines/>
        <w:spacing w:after="105" w:line="300"/>
        <w:ind w:left="320" w:hanging="220"/>
      </w:pPr>
      <w:r>
        <w:t xml:space="preserve">b) assinatura eletrônica concluída por Victor Cabral Nascimento Silva e por ao menos um sócio, dono ou representante da CONTRATANTE com poderes suficientes;</w:t>
      </w:r>
    </w:p>
    <w:p>
      <w:pPr>
        <w:keepLines/>
        <w:spacing w:after="105" w:line="300"/>
        <w:ind w:left="320" w:hanging="220"/>
      </w:pPr>
      <w:r>
        <w:t xml:space="preserve">c) confirmação verificável de todas as assinaturas exigidas;</w:t>
      </w:r>
    </w:p>
    <w:p>
      <w:pPr>
        <w:keepLines/>
        <w:spacing w:after="105" w:line="300"/>
        <w:ind w:left="320" w:hanging="220"/>
      </w:pPr>
      <w:r>
        <w:t xml:space="preserve">d) concessão dos acessos necessários pela CONTRATANTE;</w:t>
      </w:r>
    </w:p>
    <w:p>
      <w:pPr>
        <w:keepLines/>
        <w:spacing w:after="105" w:line="300"/>
        <w:ind w:left="320" w:hanging="220"/>
      </w:pPr>
      <w:r>
        <w:t xml:space="preserve">e) identificação e vinculação da conta de anúncios à unidade contratada;</w:t>
      </w:r>
    </w:p>
    <w:p>
      <w:pPr>
        <w:keepLines/>
        <w:spacing w:after="105" w:line="300"/>
        <w:ind w:left="320" w:hanging="220"/>
      </w:pPr>
      <w:r>
        <w:t xml:space="preserve">f) entrega e aprovação dos materiais necessários; e</w:t>
      </w:r>
    </w:p>
    <w:p>
      <w:pPr>
        <w:keepLines/>
        <w:spacing w:after="105" w:line="300"/>
        <w:ind w:left="320" w:hanging="220"/>
      </w:pPr>
      <w:r>
        <w:t xml:space="preserve">g) conferências operacionais do gestor.</w:t>
      </w:r>
    </w:p>
    <w:p>
      <w:pPr>
        <w:keepLines/>
        <w:spacing w:after="105" w:line="300"/>
      </w:pPr>
      <w:r>
        <w:t xml:space="preserve">4.6. A publicação será manual pelo gestor. Nenhuma etapa anterior autoriza publicação automática pela V2G.</w:t>
      </w:r>
    </w:p>
    <w:p>
      <w:pPr>
        <w:pStyle w:val="Heading2"/>
        <w:keepNext/>
      </w:pPr>
      <w:r>
        <w:t xml:space="preserve">5. OBRIGAÇÕES DA V2G</w:t>
      </w:r>
    </w:p>
    <w:p>
      <w:pPr>
        <w:keepLines/>
        <w:spacing w:after="105" w:line="300"/>
      </w:pPr>
      <w:r>
        <w:t xml:space="preserve">5.1. São obrigações da V2G:</w:t>
      </w:r>
    </w:p>
    <w:p>
      <w:pPr>
        <w:keepLines/>
        <w:spacing w:after="105" w:line="300"/>
        <w:ind w:left="320" w:hanging="220"/>
      </w:pPr>
      <w:r>
        <w:t xml:space="preserve">a) executar o escopo com diligência e técnica compatíveis com o serviço;</w:t>
      </w:r>
    </w:p>
    <w:p>
      <w:pPr>
        <w:keepLines/>
        <w:spacing w:after="105" w:line="300"/>
        <w:ind w:left="320" w:hanging="220"/>
      </w:pPr>
      <w:r>
        <w:t xml:space="preserve">b) utilizar somente as contas e acessos relacionados à contratação correspondente;</w:t>
      </w:r>
    </w:p>
    <w:p>
      <w:pPr>
        <w:keepLines/>
        <w:spacing w:after="105" w:line="300"/>
        <w:ind w:left="320" w:hanging="220"/>
      </w:pPr>
      <w:r>
        <w:t xml:space="preserve">c) submeter anúncios e materiais à aprovação da CONTRATANTE conforme o canal formal que vier a ser definido;</w:t>
      </w:r>
    </w:p>
    <w:p>
      <w:pPr>
        <w:keepLines/>
        <w:spacing w:after="105" w:line="300"/>
        <w:ind w:left="320" w:hanging="220"/>
      </w:pPr>
      <w:r>
        <w:t xml:space="preserve">d) não aumentar a verba de mídia aprovada sem autorização da CONTRATANTE;</w:t>
      </w:r>
    </w:p>
    <w:p>
      <w:pPr>
        <w:keepLines/>
        <w:spacing w:after="105" w:line="300"/>
        <w:ind w:left="320" w:hanging="220"/>
      </w:pPr>
      <w:r>
        <w:t xml:space="preserve">e) informar pendências relevantes de que tenha conhecimento;</w:t>
      </w:r>
    </w:p>
    <w:p>
      <w:pPr>
        <w:keepLines/>
        <w:spacing w:after="105" w:line="300"/>
        <w:ind w:left="320" w:hanging="220"/>
      </w:pPr>
      <w:r>
        <w:t xml:space="preserve">f) preservar a titularidade da CONTRATANTE sobre suas contas e ativos; e</w:t>
      </w:r>
    </w:p>
    <w:p>
      <w:pPr>
        <w:keepLines/>
        <w:spacing w:after="105" w:line="300"/>
        <w:ind w:left="320" w:hanging="220"/>
      </w:pPr>
      <w:r>
        <w:t xml:space="preserve">g) manter registros suficientes das aprovações e atos operacionais relevantes.</w:t>
      </w:r>
    </w:p>
    <w:p>
      <w:pPr>
        <w:keepLines/>
        <w:spacing w:after="105" w:line="300"/>
      </w:pPr>
      <w:r>
        <w:t xml:space="preserve">5.2. </w:t>
      </w:r>
      <w:r>
        <w:rPr>
          <w:b/>
          <w:bCs/>
        </w:rPr>
        <w:t xml:space="preserve">[DECISÃO PENDENTE — NÃO ENVIAR PARA ASSINATURA]</w:t>
      </w:r>
      <w:r>
        <w:t xml:space="preserve"> Devem ser definidos canal, horário e prazo de resposta do suporte, periodicidade dos relatórios e eventual disponibilidade de reuniões recorrentes.</w:t>
      </w:r>
    </w:p>
    <w:p>
      <w:pPr>
        <w:pStyle w:val="Heading2"/>
        <w:keepNext/>
      </w:pPr>
      <w:r>
        <w:t xml:space="preserve">6. OBRIGAÇÕES DA CONTRATANTE</w:t>
      </w:r>
    </w:p>
    <w:p>
      <w:pPr>
        <w:keepLines/>
        <w:spacing w:after="105" w:line="300"/>
      </w:pPr>
      <w:r>
        <w:t xml:space="preserve">6.1. São obrigações da CONTRATANTE:</w:t>
      </w:r>
    </w:p>
    <w:p>
      <w:pPr>
        <w:keepLines/>
        <w:spacing w:after="105" w:line="300"/>
        <w:ind w:left="320" w:hanging="220"/>
      </w:pPr>
      <w:r>
        <w:t xml:space="preserve">a) fornecer dados verdadeiros, completos e atualizados;</w:t>
      </w:r>
    </w:p>
    <w:p>
      <w:pPr>
        <w:keepLines/>
        <w:spacing w:after="105" w:line="300"/>
        <w:ind w:left="320" w:hanging="220"/>
      </w:pPr>
      <w:r>
        <w:t xml:space="preserve">b) manter representante e contatos contratuais atualizados;</w:t>
      </w:r>
    </w:p>
    <w:p>
      <w:pPr>
        <w:keepLines/>
        <w:spacing w:after="105" w:line="300"/>
        <w:ind w:left="320" w:hanging="220"/>
      </w:pPr>
      <w:r>
        <w:t xml:space="preserve">c) conceder à V2G os acessos necessários, mantendo a titularidade de suas contas;</w:t>
      </w:r>
    </w:p>
    <w:p>
      <w:pPr>
        <w:keepLines/>
        <w:spacing w:after="105" w:line="300"/>
        <w:ind w:left="320" w:hanging="220"/>
      </w:pPr>
      <w:r>
        <w:t xml:space="preserve">d) manter forma de pagamento e verba disponíveis diretamente na plataforma de mídia;</w:t>
      </w:r>
    </w:p>
    <w:p>
      <w:pPr>
        <w:keepLines/>
        <w:spacing w:after="105" w:line="300"/>
        <w:ind w:left="320" w:hanging="220"/>
      </w:pPr>
      <w:r>
        <w:t xml:space="preserve">e) fornecer materiais e informações necessários à execução;</w:t>
      </w:r>
    </w:p>
    <w:p>
      <w:pPr>
        <w:keepLines/>
        <w:spacing w:after="105" w:line="300"/>
        <w:ind w:left="320" w:hanging="220"/>
      </w:pPr>
      <w:r>
        <w:t xml:space="preserve">f) revisar e aprovar ou reprovar textos, ofertas e peças de forma expressa;</w:t>
      </w:r>
    </w:p>
    <w:p>
      <w:pPr>
        <w:keepLines/>
        <w:spacing w:after="105" w:line="300"/>
        <w:ind w:left="320" w:hanging="220"/>
      </w:pPr>
      <w:r>
        <w:t xml:space="preserve">g) garantir que possui direitos e autorizações sobre marcas, imagens, vídeos, músicas, depoimentos e demais materiais fornecidos;</w:t>
      </w:r>
    </w:p>
    <w:p>
      <w:pPr>
        <w:keepLines/>
        <w:spacing w:after="105" w:line="300"/>
        <w:ind w:left="320" w:hanging="220"/>
      </w:pPr>
      <w:r>
        <w:t xml:space="preserve">h) informar corretamente condições comerciais e limitações legais de sua atividade;</w:t>
      </w:r>
    </w:p>
    <w:p>
      <w:pPr>
        <w:keepLines/>
        <w:spacing w:after="105" w:line="300"/>
        <w:ind w:left="320" w:hanging="220"/>
      </w:pPr>
      <w:r>
        <w:t xml:space="preserve">i) atender os contatos recebidos e informar à V2G, quando solicitado, os dados necessários para análise da qualidade das campanhas; e</w:t>
      </w:r>
    </w:p>
    <w:p>
      <w:pPr>
        <w:keepLines/>
        <w:spacing w:after="105" w:line="300"/>
        <w:ind w:left="320" w:hanging="220"/>
      </w:pPr>
      <w:r>
        <w:t xml:space="preserve">j) pagar os valores contratados nos respectivos vencimentos.</w:t>
      </w:r>
    </w:p>
    <w:p>
      <w:pPr>
        <w:keepLines/>
        <w:spacing w:after="105" w:line="300"/>
      </w:pPr>
      <w:r>
        <w:t xml:space="preserve">6.2. A ausência de informação, acesso, material ou aprovação poderá impedir ou atrasar a publicação e o acompanhamento, sem converter a pendência em resultado prometido.</w:t>
      </w:r>
    </w:p>
    <w:p>
      <w:pPr>
        <w:pStyle w:val="Heading2"/>
        <w:keepNext/>
      </w:pPr>
      <w:r>
        <w:t xml:space="preserve">7. APROVAÇÃO DE MATERIAIS E USO DE INTELIGÊNCIA ARTIFICIAL</w:t>
      </w:r>
    </w:p>
    <w:p>
      <w:pPr>
        <w:keepLines/>
        <w:spacing w:after="105" w:line="300"/>
      </w:pPr>
      <w:r>
        <w:t xml:space="preserve">7.1. A CONTRATANTE reconhece que a V2G poderá utilizar inteligência artificial como apoio na elaboração de textos, imagens e análises.</w:t>
      </w:r>
    </w:p>
    <w:p>
      <w:pPr>
        <w:keepLines/>
        <w:spacing w:after="105" w:line="300"/>
      </w:pPr>
      <w:r>
        <w:t xml:space="preserve">7.2. Nenhum anúncio será publicado sem aprovação expressa da CONTRATANTE no canal formal definido pelas partes.</w:t>
      </w:r>
    </w:p>
    <w:p>
      <w:pPr>
        <w:keepLines/>
        <w:spacing w:after="105" w:line="300"/>
      </w:pPr>
      <w:r>
        <w:t xml:space="preserve">7.3. Ao aprovar o conteúdo, a CONTRATANTE confirma, dentro de sua esfera de conhecimento e responsabilidade, a veracidade de preços, condições, ofertas, qualificações e demais declarações sobre seu negócio.</w:t>
      </w:r>
    </w:p>
    <w:p>
      <w:pPr>
        <w:keepLines/>
        <w:spacing w:after="105" w:line="300"/>
      </w:pPr>
      <w:r>
        <w:t xml:space="preserve">7.4. A V2G poderá recusar ou solicitar alteração de material que, em sua avaliação, viole lei, direito de terceiro ou política da plataforma.</w:t>
      </w:r>
    </w:p>
    <w:p>
      <w:pPr>
        <w:keepLines/>
        <w:spacing w:after="105" w:line="300"/>
      </w:pPr>
      <w:r>
        <w:t xml:space="preserve">7.5. </w:t>
      </w:r>
      <w:r>
        <w:rPr>
          <w:b/>
          <w:bCs/>
        </w:rPr>
        <w:t xml:space="preserve">[DECISÃO PENDENTE — NÃO ENVIAR PARA ASSINATURA]</w:t>
      </w:r>
      <w:r>
        <w:t xml:space="preserve"> Definir os canais que produzem aprovação válida, a identidade mínima do aprovador e o prazo operacional de resposta.</w:t>
      </w:r>
    </w:p>
    <w:p>
      <w:pPr>
        <w:pStyle w:val="Heading2"/>
        <w:keepNext/>
      </w:pPr>
      <w:r>
        <w:t xml:space="preserve">8. VERBA DE MÍDIA</w:t>
      </w:r>
    </w:p>
    <w:p>
      <w:pPr>
        <w:keepLines/>
        <w:spacing w:after="105" w:line="300"/>
      </w:pPr>
      <w:r>
        <w:t xml:space="preserve">8.1. A remuneração da V2G não inclui a verba destinada aos anúncios.</w:t>
      </w:r>
    </w:p>
    <w:p>
      <w:pPr>
        <w:keepLines/>
        <w:spacing w:after="105" w:line="300"/>
      </w:pPr>
      <w:r>
        <w:t xml:space="preserve">8.2. A verba de mídia será suportada pela CONTRATANTE e paga à plataforma por meio de forma de pagamento de sua titularidade, salvo ajuste escrito e juridicamente revisado em sentido diverso.</w:t>
      </w:r>
    </w:p>
    <w:p>
      <w:pPr>
        <w:keepLines/>
        <w:spacing w:after="105" w:line="300"/>
      </w:pPr>
      <w:r>
        <w:t xml:space="preserve">8.3. A V2G poderá reduzir, redistribuir ou pausar valores dentro do orçamento aprovado quando isso fizer parte da gestão contratada. Qualquer aumento do teto aprovado depende de autorização expressa.</w:t>
      </w:r>
    </w:p>
    <w:p>
      <w:pPr>
        <w:keepLines/>
        <w:spacing w:after="105" w:line="300"/>
      </w:pPr>
      <w:r>
        <w:t xml:space="preserve">8.4. Tributos, taxas, cobranças e variações cambiais cobrados diretamente pela plataforma de mídia não se confundem com a remuneração da V2G.</w:t>
      </w:r>
    </w:p>
    <w:p>
      <w:pPr>
        <w:pStyle w:val="Heading2"/>
        <w:keepNext/>
      </w:pPr>
      <w:r>
        <w:t xml:space="preserve">9. PREÇO E FORMA DE PAGAMENTO</w:t>
      </w:r>
    </w:p>
    <w:p>
      <w:pPr>
        <w:keepLines/>
        <w:spacing w:after="105" w:line="300"/>
      </w:pPr>
      <w:r>
        <w:t xml:space="preserve">9.1. O pedido </w:t>
      </w:r>
      <w:r>
        <w:rPr>
          <w:rFonts w:ascii="Consolas" w:cs="Consolas" w:eastAsia="Consolas" w:hAnsi="Consolas"/>
          <w:color w:val="23395B"/>
          <w:sz w:val="19"/>
          <w:szCs w:val="19"/>
          <w:shd w:fill="EEF2F7" w:color="auto" w:val="clear"/>
        </w:rPr>
        <w:t xml:space="preserve">{{pedido.id}}</w:t>
      </w:r>
      <w:r>
        <w:t xml:space="preserve"> adota o plano </w:t>
      </w:r>
      <w:r>
        <w:rPr>
          <w:rFonts w:ascii="Consolas" w:cs="Consolas" w:eastAsia="Consolas" w:hAnsi="Consolas"/>
          <w:color w:val="23395B"/>
          <w:sz w:val="19"/>
          <w:szCs w:val="19"/>
          <w:shd w:fill="EEF2F7" w:color="auto" w:val="clear"/>
        </w:rPr>
        <w:t xml:space="preserve">{{pedido.periodicidade}}</w:t>
      </w:r>
      <w:r>
        <w:t xml:space="preserve"> e a forma de pagamento </w:t>
      </w:r>
      <w:r>
        <w:rPr>
          <w:rFonts w:ascii="Consolas" w:cs="Consolas" w:eastAsia="Consolas" w:hAnsi="Consolas"/>
          <w:color w:val="23395B"/>
          <w:sz w:val="19"/>
          <w:szCs w:val="19"/>
          <w:shd w:fill="EEF2F7" w:color="auto" w:val="clear"/>
        </w:rPr>
        <w:t xml:space="preserve">{{pedido.forma_de_pagamento}}</w:t>
      </w:r>
      <w:r>
        <w:t xml:space="preserve">.</w:t>
      </w:r>
    </w:p>
    <w:p>
      <w:pPr>
        <w:keepLines/>
        <w:spacing w:after="105" w:line="300"/>
      </w:pPr>
      <w:r>
        <w:t xml:space="preserve">9.2. No plano mensal, o preço é de </w:t>
      </w:r>
      <w:r>
        <w:rPr>
          <w:b/>
          <w:bCs/>
        </w:rPr>
        <w:t xml:space="preserve">R$ 500,00 por conta de anúncios por mês</w:t>
      </w:r>
      <w:r>
        <w:t xml:space="preserve">, totalizando </w:t>
      </w:r>
      <w:r>
        <w:rPr>
          <w:rFonts w:ascii="Consolas" w:cs="Consolas" w:eastAsia="Consolas" w:hAnsi="Consolas"/>
          <w:color w:val="23395B"/>
          <w:sz w:val="19"/>
          <w:szCs w:val="19"/>
          <w:shd w:fill="EEF2F7" w:color="auto" w:val="clear"/>
        </w:rPr>
        <w:t xml:space="preserve">{{pedido.valor_mensal_total_formatado}}</w:t>
      </w:r>
      <w:r>
        <w:t xml:space="preserve"> por mês para </w:t>
      </w:r>
      <w:r>
        <w:rPr>
          <w:rFonts w:ascii="Consolas" w:cs="Consolas" w:eastAsia="Consolas" w:hAnsi="Consolas"/>
          <w:color w:val="23395B"/>
          <w:sz w:val="19"/>
          <w:szCs w:val="19"/>
          <w:shd w:fill="EEF2F7" w:color="auto" w:val="clear"/>
        </w:rPr>
        <w:t xml:space="preserve">{{pedido.quantidade_de_contas}}</w:t>
      </w:r>
      <w:r>
        <w:t xml:space="preserve"> unidade(s).</w:t>
      </w:r>
    </w:p>
    <w:p>
      <w:pPr>
        <w:keepLines/>
        <w:spacing w:after="105" w:line="300"/>
      </w:pPr>
      <w:r>
        <w:t xml:space="preserve">9.3. No plano anual pago à vista, o preço é de </w:t>
      </w:r>
      <w:r>
        <w:rPr>
          <w:b/>
          <w:bCs/>
        </w:rPr>
        <w:t xml:space="preserve">R$ 5.280,00 por conta de anúncios por 12 meses</w:t>
      </w:r>
      <w:r>
        <w:t xml:space="preserve">, já incluído desconto de 12% sobre R$ 6.000,00, totalizando </w:t>
      </w:r>
      <w:r>
        <w:rPr>
          <w:rFonts w:ascii="Consolas" w:cs="Consolas" w:eastAsia="Consolas" w:hAnsi="Consolas"/>
          <w:color w:val="23395B"/>
          <w:sz w:val="19"/>
          <w:szCs w:val="19"/>
          <w:shd w:fill="EEF2F7" w:color="auto" w:val="clear"/>
        </w:rPr>
        <w:t xml:space="preserve">{{pedido.valor_anual_total_formatado}}</w:t>
      </w:r>
      <w:r>
        <w:t xml:space="preserve"> para </w:t>
      </w:r>
      <w:r>
        <w:rPr>
          <w:rFonts w:ascii="Consolas" w:cs="Consolas" w:eastAsia="Consolas" w:hAnsi="Consolas"/>
          <w:color w:val="23395B"/>
          <w:sz w:val="19"/>
          <w:szCs w:val="19"/>
          <w:shd w:fill="EEF2F7" w:color="auto" w:val="clear"/>
        </w:rPr>
        <w:t xml:space="preserve">{{pedido.quantidade_de_contas}}</w:t>
      </w:r>
      <w:r>
        <w:t xml:space="preserve"> unidade(s).</w:t>
      </w:r>
    </w:p>
    <w:p>
      <w:pPr>
        <w:keepLines/>
        <w:spacing w:after="105" w:line="300"/>
      </w:pPr>
      <w:r>
        <w:t xml:space="preserve">9.4. Somente a modalidade selecionada e registrada no pedido se aplica à CONTRATANTE. Não há desconto semestral ou para parcelamento aprovado por esta minuta.</w:t>
      </w:r>
    </w:p>
    <w:p>
      <w:pPr>
        <w:keepLines/>
        <w:spacing w:after="105" w:line="300"/>
      </w:pPr>
      <w:r>
        <w:t xml:space="preserve">9.5. O vencimento e a identificação da cobrança constam do Anexo A.</w:t>
      </w:r>
    </w:p>
    <w:p>
      <w:pPr>
        <w:keepLines/>
        <w:spacing w:after="105" w:line="300"/>
      </w:pPr>
      <w:r>
        <w:t xml:space="preserve">9.6. </w:t>
      </w:r>
      <w:r>
        <w:rPr>
          <w:b/>
          <w:bCs/>
        </w:rPr>
        <w:t xml:space="preserve">[DECISÃO PENDENTE — NÃO ENVIAR PARA ASSINATURA]</w:t>
      </w:r>
      <w:r>
        <w:t xml:space="preserve"> Definir carência, encargos, avisos, suspensão por atraso, retomada, estorno e chargeback. Nenhuma campanha será pausada automaticamente com base nesta minuta.</w:t>
      </w:r>
    </w:p>
    <w:p>
      <w:pPr>
        <w:keepLines/>
        <w:spacing w:after="105" w:line="300"/>
      </w:pPr>
      <w:r>
        <w:t xml:space="preserve">9.7. Tributos e nota fiscal serão tratados conforme a legislação e a configuração fiscal aplicável. Solicitação, agendamento ou processamento não equivalem à autorização da NFS-e pelo emissor competente.</w:t>
      </w:r>
    </w:p>
    <w:p>
      <w:pPr>
        <w:pStyle w:val="Heading2"/>
        <w:keepNext/>
      </w:pPr>
      <w:r>
        <w:t xml:space="preserve">10. VIGÊNCIA E PERMANÊNCIA MÍNIMA</w:t>
      </w:r>
    </w:p>
    <w:p>
      <w:pPr>
        <w:keepLines/>
        <w:spacing w:after="105" w:line="300"/>
      </w:pPr>
      <w:r>
        <w:t xml:space="preserve">10.1. O contrato terá início em </w:t>
      </w:r>
      <w:r>
        <w:rPr>
          <w:rFonts w:ascii="Consolas" w:cs="Consolas" w:eastAsia="Consolas" w:hAnsi="Consolas"/>
          <w:color w:val="23395B"/>
          <w:sz w:val="19"/>
          <w:szCs w:val="19"/>
          <w:shd w:fill="EEF2F7" w:color="auto" w:val="clear"/>
        </w:rPr>
        <w:t xml:space="preserve">{{contrato.data_inicio_aprovada}}</w:t>
      </w:r>
      <w:r>
        <w:t xml:space="preserve"> e permanência mínima de </w:t>
      </w:r>
      <w:r>
        <w:rPr>
          <w:b/>
          <w:bCs/>
        </w:rPr>
        <w:t xml:space="preserve">6 (seis) meses</w:t>
      </w:r>
      <w:r>
        <w:t xml:space="preserve">.</w:t>
      </w:r>
    </w:p>
    <w:p>
      <w:pPr>
        <w:keepLines/>
        <w:spacing w:after="105" w:line="300"/>
      </w:pPr>
      <w:r>
        <w:t xml:space="preserve">10.2. </w:t>
      </w:r>
      <w:r>
        <w:rPr>
          <w:b/>
          <w:bCs/>
        </w:rPr>
        <w:t xml:space="preserve">[DECISÃO PENDENTE — NÃO ENVIAR PARA ASSINATURA]</w:t>
      </w:r>
      <w:r>
        <w:t xml:space="preserve"> O advogado deverá validar qual evento inicia a vigência e a contagem do período mínimo: pagamento aprovado, assinatura concluída, disponibilização do acesso ou outro marco objetivo.</w:t>
      </w:r>
    </w:p>
    <w:p>
      <w:pPr>
        <w:keepLines/>
        <w:spacing w:after="105" w:line="300"/>
      </w:pPr>
      <w:r>
        <w:t xml:space="preserve">10.3. A escolha do plano anual não altera, por si só, a necessidade de definir os efeitos financeiros e operacionais de eventual encerramento antes do término do período pago.</w:t>
      </w:r>
    </w:p>
    <w:p>
      <w:pPr>
        <w:keepLines/>
        <w:spacing w:after="105" w:line="300"/>
      </w:pPr>
      <w:r>
        <w:t xml:space="preserve">10.4. </w:t>
      </w:r>
      <w:r>
        <w:rPr>
          <w:b/>
          <w:bCs/>
        </w:rPr>
        <w:t xml:space="preserve">[DECISÃO PENDENTE — NÃO ENVIAR PARA ASSINATURA]</w:t>
      </w:r>
      <w:r>
        <w:t xml:space="preserve"> Definir o que ocorre depois dos seis meses: continuidade mensal, renovação por prazo determinado ou necessidade de nova contratação.</w:t>
      </w:r>
    </w:p>
    <w:p>
      <w:pPr>
        <w:pStyle w:val="Heading2"/>
        <w:keepNext/>
      </w:pPr>
      <w:r>
        <w:t xml:space="preserve">11. ENCERRAMENTO E SAÍDA ANTECIPADA</w:t>
      </w:r>
    </w:p>
    <w:p>
      <w:pPr>
        <w:keepLines/>
        <w:spacing w:after="105" w:line="300"/>
      </w:pPr>
      <w:r>
        <w:t xml:space="preserve">11.1. A intenção comercial da V2G é cobrar os meses restantes quando a CONTRATANTE encerrar a contratação antes dos seis meses mínimos. Essa intenção </w:t>
      </w:r>
      <w:r>
        <w:rPr>
          <w:b/>
          <w:bCs/>
        </w:rPr>
        <w:t xml:space="preserve">não constitui obrigação contratual enquanto a redação, a fórmula, as exceções e seus efeitos não forem aprovados pelo advogado</w:t>
      </w:r>
      <w:r>
        <w:t xml:space="preserve">.</w:t>
      </w:r>
    </w:p>
    <w:p>
      <w:pPr>
        <w:keepLines/>
        <w:spacing w:after="105" w:line="300"/>
      </w:pPr>
      <w:r>
        <w:t xml:space="preserve">11.2. </w:t>
      </w:r>
      <w:r>
        <w:rPr>
          <w:b/>
          <w:bCs/>
        </w:rPr>
        <w:t xml:space="preserve">[DECISÃO PENDENTE — NÃO ENVIAR PARA ASSINATURA]</w:t>
      </w:r>
      <w:r>
        <w:t xml:space="preserve"> O advogado deverá escolher e redigir uma solução aplicável, considerando ao menos:</w:t>
      </w:r>
    </w:p>
    <w:p>
      <w:pPr>
        <w:keepLines/>
        <w:spacing w:after="105" w:line="300"/>
        <w:ind w:left="320" w:hanging="220"/>
      </w:pPr>
      <w:r>
        <w:t xml:space="preserve">a) vencimento das mensalidades restantes, com definição de base de cálculo e hipóteses de exclusão;</w:t>
      </w:r>
    </w:p>
    <w:p>
      <w:pPr>
        <w:keepLines/>
        <w:spacing w:after="105" w:line="300"/>
        <w:ind w:left="320" w:hanging="220"/>
      </w:pPr>
      <w:r>
        <w:t xml:space="preserve">b) indenização proporcional limitada e claramente informada; ou</w:t>
      </w:r>
    </w:p>
    <w:p>
      <w:pPr>
        <w:keepLines/>
        <w:spacing w:after="105" w:line="300"/>
        <w:ind w:left="320" w:hanging="220"/>
      </w:pPr>
      <w:r>
        <w:t xml:space="preserve">c) outra solução compatível com a natureza da contratação e a legislação aplicável.</w:t>
      </w:r>
    </w:p>
    <w:p>
      <w:pPr>
        <w:keepLines/>
        <w:spacing w:after="105" w:line="300"/>
      </w:pPr>
      <w:r>
        <w:t xml:space="preserve">11.3. </w:t>
      </w:r>
      <w:r>
        <w:rPr>
          <w:b/>
          <w:bCs/>
        </w:rPr>
        <w:t xml:space="preserve">[DECISÃO PENDENTE — NÃO ENVIAR PARA ASSINATURA]</w:t>
      </w:r>
      <w:r>
        <w:t xml:space="preserve"> No anual antecipado, definir retenção, reembolso proporcional, crédito ou ausência de reembolso, incluindo as hipóteses de falha da V2G, impossibilidade técnica, inadimplemento da CONTRATANTE e caso fortuito/força maior.</w:t>
      </w:r>
    </w:p>
    <w:p>
      <w:pPr>
        <w:keepLines/>
        <w:spacing w:after="105" w:line="300"/>
      </w:pPr>
      <w:r>
        <w:t xml:space="preserve">11.4. Encerrado o contrato, a retirada de acessos, a situação das campanhas e a entrega de documentos deverão ser registradas. Não se presumirá que o encerramento de um CNPJ ou conta encerra contratos paralelos de outro CNPJ ou outra conta.</w:t>
      </w:r>
    </w:p>
    <w:p>
      <w:pPr>
        <w:pStyle w:val="Heading2"/>
        <w:keepNext/>
      </w:pPr>
      <w:r>
        <w:t xml:space="preserve">12. CONTAS, ATIVOS E PROPRIEDADE INTELECTUAL</w:t>
      </w:r>
    </w:p>
    <w:p>
      <w:pPr>
        <w:keepLines/>
        <w:spacing w:after="105" w:line="300"/>
      </w:pPr>
      <w:r>
        <w:t xml:space="preserve">12.1. Contas de anúncios, gerenciadores, páginas, perfis, conjuntos de dados, públicos e históricos pertencentes à CONTRATANTE permanecem sob sua titularidade. A V2G atua mediante acesso autorizado.</w:t>
      </w:r>
    </w:p>
    <w:p>
      <w:pPr>
        <w:keepLines/>
        <w:spacing w:after="105" w:line="300"/>
      </w:pPr>
      <w:r>
        <w:t xml:space="preserve">12.2. A tecnologia, os sistemas, modelos, regras, instruções, métodos, fluxos e materiais preexistentes da V2G permanecem de sua titularidade.</w:t>
      </w:r>
    </w:p>
    <w:p>
      <w:pPr>
        <w:keepLines/>
        <w:spacing w:after="105" w:line="300"/>
      </w:pPr>
      <w:r>
        <w:t xml:space="preserve">12.3. </w:t>
      </w:r>
      <w:r>
        <w:rPr>
          <w:b/>
          <w:bCs/>
        </w:rPr>
        <w:t xml:space="preserve">[DECISÃO PENDENTE — NÃO ENVIAR PARA ASSINATURA]</w:t>
      </w:r>
      <w:r>
        <w:t xml:space="preserve"> Definir a licença de uso e a titularidade dos textos, imagens e demais materiais criados especificamente durante a contratação, inclusive após o encerramento.</w:t>
      </w:r>
    </w:p>
    <w:p>
      <w:pPr>
        <w:keepLines/>
        <w:spacing w:after="105" w:line="300"/>
      </w:pPr>
      <w:r>
        <w:t xml:space="preserve">12.4. Nenhuma disposição transfere à V2G a titularidade da conta de anúncios ou dos ativos digitais da CONTRATANTE.</w:t>
      </w:r>
    </w:p>
    <w:p>
      <w:pPr>
        <w:pStyle w:val="Heading2"/>
        <w:keepNext/>
      </w:pPr>
      <w:r>
        <w:t xml:space="preserve">13. PLATAFORMAS DE TERCEIROS</w:t>
      </w:r>
    </w:p>
    <w:p>
      <w:pPr>
        <w:keepLines/>
        <w:spacing w:after="105" w:line="300"/>
      </w:pPr>
      <w:r>
        <w:t xml:space="preserve">13.1. Plataformas de mídia, mensageria, pagamento, assinatura e hospedagem são serviços de terceiros, sujeitos a disponibilidade, políticas, análises e decisões próprias.</w:t>
      </w:r>
    </w:p>
    <w:p>
      <w:pPr>
        <w:keepLines/>
        <w:spacing w:after="105" w:line="300"/>
      </w:pPr>
      <w:r>
        <w:t xml:space="preserve">13.2. A V2G não garante aprovação de anúncios ou continuidade de contas por terceiros, mas deverá comunicar as ocorrências relevantes de que tiver conhecimento e atuar, dentro do escopo, para orientar a CONTRATANTE.</w:t>
      </w:r>
    </w:p>
    <w:p>
      <w:pPr>
        <w:keepLines/>
        <w:spacing w:after="105" w:line="300"/>
      </w:pPr>
      <w:r>
        <w:t xml:space="preserve">13.3. A responsabilidade por cobranças feitas diretamente pela plataforma de mídia e por materiais fornecidos ou aprovados pela CONTRATANTE será analisada conforme a origem do fato e a legislação aplicável.</w:t>
      </w:r>
    </w:p>
    <w:p>
      <w:pPr>
        <w:pStyle w:val="Heading2"/>
        <w:keepNext/>
      </w:pPr>
      <w:r>
        <w:t xml:space="preserve">14. PROTEÇÃO DE DADOS PESSOAIS</w:t>
      </w:r>
    </w:p>
    <w:p>
      <w:pPr>
        <w:keepLines/>
        <w:spacing w:after="105" w:line="300"/>
      </w:pPr>
      <w:r>
        <w:t xml:space="preserve">14.1. As partes tratarão dados pessoais de acordo com a legislação aplicável, inclusive a Lei nº 13.709/2018.</w:t>
      </w:r>
    </w:p>
    <w:p>
      <w:pPr>
        <w:keepLines/>
        <w:spacing w:after="105" w:line="300"/>
      </w:pPr>
      <w:r>
        <w:t xml:space="preserve">14.2. Quando tratar dados pessoais comprovadamente em nome e conforme instruções documentadas da CONTRATANTE, a V2G atuará como operadora. Para tratamentos ligados à sua própria gestão empresarial, segurança, cobrança, cumprimento legal e defesa de direitos, os papéis deverão ser definidos conforme cada finalidade.</w:t>
      </w:r>
    </w:p>
    <w:p>
      <w:pPr>
        <w:keepLines/>
        <w:spacing w:after="105" w:line="300"/>
      </w:pPr>
      <w:r>
        <w:t xml:space="preserve">14.3. A CONTRATANTE declara que fornecerá somente dados que possa tratar e compartilhar legitimamente, observadas as finalidades da contratação.</w:t>
      </w:r>
    </w:p>
    <w:p>
      <w:pPr>
        <w:keepLines/>
        <w:spacing w:after="105" w:line="300"/>
      </w:pPr>
      <w:r>
        <w:t xml:space="preserve">14.4. As partes deverão limitar acesso, adotar medidas de segurança adequadas e cooperar no atendimento de incidentes e direitos dos titulares.</w:t>
      </w:r>
    </w:p>
    <w:p>
      <w:pPr>
        <w:keepLines/>
        <w:spacing w:after="105" w:line="300"/>
      </w:pPr>
      <w:r>
        <w:t xml:space="preserve">14.5. </w:t>
      </w:r>
      <w:r>
        <w:rPr>
          <w:b/>
          <w:bCs/>
        </w:rPr>
        <w:t xml:space="preserve">[DECISÃO PENDENTE — NÃO ENVIAR PARA ASSINATURA]</w:t>
      </w:r>
      <w:r>
        <w:t xml:space="preserve"> O advogado e o responsável por privacidade deverão validar papéis, bases legais, suboperadores, compartilhamentos internacionais, prazos de retenção, procedimento de incidente, eliminação e eventual uso de dados agregados ou anonimizados para melhoria do produto.</w:t>
      </w:r>
    </w:p>
    <w:p>
      <w:pPr>
        <w:pStyle w:val="Heading2"/>
        <w:keepNext/>
      </w:pPr>
      <w:r>
        <w:t xml:space="preserve">15. CONFIDENCIALIDADE</w:t>
      </w:r>
    </w:p>
    <w:p>
      <w:pPr>
        <w:keepLines/>
        <w:spacing w:after="105" w:line="300"/>
      </w:pPr>
      <w:r>
        <w:t xml:space="preserve">15.1. As partes preservarão as informações não públicas conhecidas em razão da contratação e as utilizarão somente para as finalidades autorizadas.</w:t>
      </w:r>
    </w:p>
    <w:p>
      <w:pPr>
        <w:keepLines/>
        <w:spacing w:after="105" w:line="300"/>
      </w:pPr>
      <w:r>
        <w:t xml:space="preserve">15.2. Não são confidenciais informações que já sejam públicas sem violação deste contrato, que tenham sido legitimamente obtidas de terceiro ou cuja divulgação seja exigida por lei ou autoridade competente.</w:t>
      </w:r>
    </w:p>
    <w:p>
      <w:pPr>
        <w:keepLines/>
        <w:spacing w:after="105" w:line="300"/>
      </w:pPr>
      <w:r>
        <w:t xml:space="preserve">15.3. </w:t>
      </w:r>
      <w:r>
        <w:rPr>
          <w:b/>
          <w:bCs/>
        </w:rPr>
        <w:t xml:space="preserve">[DECISÃO PENDENTE — NÃO ENVIAR PARA ASSINATURA]</w:t>
      </w:r>
      <w:r>
        <w:t xml:space="preserve"> Definir prazo de sobrevivência, exceções, procedimento de devolução e medidas aplicáveis em caso de violação.</w:t>
      </w:r>
    </w:p>
    <w:p>
      <w:pPr>
        <w:pStyle w:val="Heading2"/>
        <w:keepNext/>
      </w:pPr>
      <w:r>
        <w:t xml:space="preserve">16. RESPONSABILIDADE</w:t>
      </w:r>
    </w:p>
    <w:p>
      <w:pPr>
        <w:keepLines/>
        <w:spacing w:after="105" w:line="300"/>
      </w:pPr>
      <w:r>
        <w:t xml:space="preserve">16.1. Cada parte responde por seus próprios atos, informações, acessos e materiais, observada a legislação aplicável.</w:t>
      </w:r>
    </w:p>
    <w:p>
      <w:pPr>
        <w:keepLines/>
        <w:spacing w:after="105" w:line="300"/>
      </w:pPr>
      <w:r>
        <w:t xml:space="preserve">16.2. </w:t>
      </w:r>
      <w:r>
        <w:rPr>
          <w:b/>
          <w:bCs/>
        </w:rPr>
        <w:t xml:space="preserve">[DECISÃO PENDENTE — NÃO ENVIAR PARA ASSINATURA]</w:t>
      </w:r>
      <w:r>
        <w:t xml:space="preserve"> O advogado deverá definir se haverá limite de responsabilidade, exceções ao limite, danos indiretos, obrigações de indenização e tratamento de dolo, culpa grave, violação de dados, propriedade intelectual e direitos de terceiros.</w:t>
      </w:r>
    </w:p>
    <w:p>
      <w:pPr>
        <w:pStyle w:val="Heading2"/>
        <w:keepNext/>
      </w:pPr>
      <w:r>
        <w:t xml:space="preserve">17. USO DE NOME, MARCA E CASE</w:t>
      </w:r>
    </w:p>
    <w:p>
      <w:pPr>
        <w:keepLines/>
        <w:spacing w:after="105" w:line="300"/>
      </w:pPr>
      <w:r>
        <w:t xml:space="preserve">17.1. A V2G não poderá divulgar a CONTRATANTE como cliente, usar sua marca ou publicar resultados identificáveis como case sem autorização específica e verificável.</w:t>
      </w:r>
    </w:p>
    <w:p>
      <w:pPr>
        <w:keepLines/>
        <w:spacing w:after="105" w:line="300"/>
      </w:pPr>
      <w:r>
        <w:t xml:space="preserve">17.2. </w:t>
      </w:r>
      <w:r>
        <w:rPr>
          <w:b/>
          <w:bCs/>
        </w:rPr>
        <w:t xml:space="preserve">[DECISÃO PENDENTE — NÃO ENVIAR PARA ASSINATURA]</w:t>
      </w:r>
      <w:r>
        <w:t xml:space="preserve"> Definir se a autorização ficará neste contrato, em campo separado e opcional, ou em instrumento próprio, além da forma de revogação.</w:t>
      </w:r>
    </w:p>
    <w:p>
      <w:pPr>
        <w:pStyle w:val="Heading2"/>
        <w:keepNext/>
      </w:pPr>
      <w:r>
        <w:t xml:space="preserve">18. COMUNICAÇÕES</w:t>
      </w:r>
    </w:p>
    <w:p>
      <w:pPr>
        <w:keepLines/>
        <w:spacing w:after="105" w:line="300"/>
      </w:pPr>
      <w:r>
        <w:t xml:space="preserve">18.1. As comunicações contratuais serão encaminhadas aos contatos identificados no Anexo A ou a outros contatos posteriormente atualizados de forma verificável.</w:t>
      </w:r>
    </w:p>
    <w:p>
      <w:pPr>
        <w:keepLines/>
        <w:spacing w:after="105" w:line="300"/>
      </w:pPr>
      <w:r>
        <w:t xml:space="preserve">18.2. </w:t>
      </w:r>
      <w:r>
        <w:rPr>
          <w:b/>
          <w:bCs/>
        </w:rPr>
        <w:t xml:space="preserve">[DECISÃO PENDENTE — NÃO ENVIAR PARA ASSINATURA]</w:t>
      </w:r>
      <w:r>
        <w:t xml:space="preserve"> Definir quais canais são válidos para aprovação de anúncios, alteração de orçamento, notificações de inadimplemento, encerramento e outras comunicações com efeito jurídico.</w:t>
      </w:r>
    </w:p>
    <w:p>
      <w:pPr>
        <w:pStyle w:val="Heading2"/>
        <w:keepNext/>
      </w:pPr>
      <w:r>
        <w:t xml:space="preserve">19. ASSINATURA ELETRÔNICA E EVIDÊNCIAS</w:t>
      </w:r>
    </w:p>
    <w:p>
      <w:pPr>
        <w:keepLines/>
        <w:spacing w:after="105" w:line="300"/>
      </w:pPr>
      <w:r>
        <w:t xml:space="preserve">19.1. O provedor de assinatura eletrônica está </w:t>
      </w:r>
      <w:r>
        <w:rPr>
          <w:b/>
          <w:bCs/>
        </w:rPr>
        <w:t xml:space="preserve">pendente de identificação e contratação</w:t>
      </w:r>
      <w:r>
        <w:t xml:space="preserve">. O módulo de contratos do Asaas não será tratado como provedor de assinatura de documentos.</w:t>
      </w:r>
    </w:p>
    <w:p>
      <w:pPr>
        <w:keepLines/>
        <w:spacing w:after="105" w:line="300"/>
      </w:pPr>
      <w:r>
        <w:t xml:space="preserve">19.2. A versão destinada à assinatura deverá ser enviada ao provedor somente após:</w:t>
      </w:r>
    </w:p>
    <w:p>
      <w:pPr>
        <w:keepLines/>
        <w:spacing w:after="105" w:line="300"/>
        <w:ind w:left="320" w:hanging="220"/>
      </w:pPr>
      <w:r>
        <w:t xml:space="preserve">a) aprovação jurídica expressa da versão da minuta;</w:t>
      </w:r>
    </w:p>
    <w:p>
      <w:pPr>
        <w:keepLines/>
        <w:spacing w:after="105" w:line="300"/>
        <w:ind w:left="320" w:hanging="220"/>
      </w:pPr>
      <w:r>
        <w:t xml:space="preserve">b) preenchimento com dados de origem identificada e validada;</w:t>
      </w:r>
    </w:p>
    <w:p>
      <w:pPr>
        <w:keepLines/>
        <w:spacing w:after="105" w:line="300"/>
        <w:ind w:left="320" w:hanging="220"/>
      </w:pPr>
      <w:r>
        <w:t xml:space="preserve">c) congelamento do conteúdo e geração de hash;</w:t>
      </w:r>
    </w:p>
    <w:p>
      <w:pPr>
        <w:keepLines/>
        <w:spacing w:after="105" w:line="300"/>
        <w:ind w:left="320" w:hanging="220"/>
      </w:pPr>
      <w:r>
        <w:t xml:space="preserve">d) revisão dos dados pelos signatários; e</w:t>
      </w:r>
    </w:p>
    <w:p>
      <w:pPr>
        <w:keepLines/>
        <w:spacing w:after="105" w:line="300"/>
        <w:ind w:left="320" w:hanging="220"/>
      </w:pPr>
      <w:r>
        <w:t xml:space="preserve">e) identificação do pedido e da versão do documento.</w:t>
      </w:r>
    </w:p>
    <w:p>
      <w:pPr>
        <w:keepLines/>
        <w:spacing w:after="105" w:line="300"/>
      </w:pPr>
      <w:r>
        <w:t xml:space="preserve">19.3. O contrato somente será marcado como assinado após confirmação verificável de todas as assinaturas exigidas. O sistema deverá preservar o documento final e a trilha de autoria e integridade fornecida pelo provedor.</w:t>
      </w:r>
    </w:p>
    <w:p>
      <w:pPr>
        <w:keepLines/>
        <w:spacing w:after="105" w:line="300"/>
      </w:pPr>
      <w:r>
        <w:t xml:space="preserve">19.4. A minuta gerada, o envio do convite, a abertura do documento ou uma assinatura parcial não equivalem a contrato concluído.</w:t>
      </w:r>
    </w:p>
    <w:p>
      <w:pPr>
        <w:keepLines/>
        <w:spacing w:after="105" w:line="300"/>
      </w:pPr>
      <w:r>
        <w:t xml:space="preserve">19.5. As partes admitem a utilização de assinatura eletrônica que permita comprovar autoria e integridade, observada a legislação aplicável e os requisitos definidos pelo advogado para esta contratação.</w:t>
      </w:r>
    </w:p>
    <w:p>
      <w:pPr>
        <w:keepLines/>
        <w:spacing w:after="105" w:line="300"/>
      </w:pPr>
      <w:r>
        <w:t xml:space="preserve">19.6. </w:t>
      </w:r>
      <w:r>
        <w:rPr>
          <w:b/>
          <w:bCs/>
        </w:rPr>
        <w:t xml:space="preserve">[DECISÃO PENDENTE — NÃO ENVIAR PARA ASSINATURA]</w:t>
      </w:r>
      <w:r>
        <w:t xml:space="preserve"> O advogado deverá validar modalidade de assinatura, necessidade de testemunhas, requisitos probatórios e executividade do instrumento.</w:t>
      </w:r>
    </w:p>
    <w:p>
      <w:pPr>
        <w:pStyle w:val="Heading2"/>
        <w:keepNext/>
      </w:pPr>
      <w:r>
        <w:t xml:space="preserve">20. VERSIONAMENTO, CORREÇÕES E ALTERAÇÕES</w:t>
      </w:r>
    </w:p>
    <w:p>
      <w:pPr>
        <w:keepLines/>
        <w:spacing w:after="105" w:line="300"/>
      </w:pPr>
      <w:r>
        <w:t xml:space="preserve">20.1. Antes da assinatura completa, qualquer correção de dado ou cláusula gera nova versão para revisão. A versão anterior será preservada como substituída ou cancelada e não poderá ser reaproveitada silenciosamente.</w:t>
      </w:r>
    </w:p>
    <w:p>
      <w:pPr>
        <w:keepLines/>
        <w:spacing w:after="105" w:line="300"/>
      </w:pPr>
      <w:r>
        <w:t xml:space="preserve">20.2. Cada versão terá, no mínimo, pedido, versão da minuta, versão do documento, data de geração, snapshot dos dados e hash do conteúdo.</w:t>
      </w:r>
    </w:p>
    <w:p>
      <w:pPr>
        <w:keepLines/>
        <w:spacing w:after="105" w:line="300"/>
      </w:pPr>
      <w:r>
        <w:t xml:space="preserve">20.3. Depois da assinatura completa, o documento assinado é imutável. Nenhuma correção será feita diretamente no arquivo final.</w:t>
      </w:r>
    </w:p>
    <w:p>
      <w:pPr>
        <w:keepLines/>
        <w:spacing w:after="105" w:line="300"/>
      </w:pPr>
      <w:r>
        <w:t xml:space="preserve">20.4. Mudanças posteriores à assinatura exigem aditivo ou novo contrato, com nova identificação, revisão e assinaturas, preservando o documento original.</w:t>
      </w:r>
    </w:p>
    <w:p>
      <w:pPr>
        <w:keepLines/>
        <w:spacing w:after="105" w:line="300"/>
      </w:pPr>
      <w:r>
        <w:t xml:space="preserve">20.5. A geração será idempotente por </w:t>
      </w:r>
      <w:r>
        <w:rPr>
          <w:rFonts w:ascii="Consolas" w:cs="Consolas" w:eastAsia="Consolas" w:hAnsi="Consolas"/>
          <w:color w:val="23395B"/>
          <w:sz w:val="19"/>
          <w:szCs w:val="19"/>
          <w:shd w:fill="EEF2F7" w:color="auto" w:val="clear"/>
        </w:rPr>
        <w:t xml:space="preserve">pedido + versão da minuta + versão do documento</w:t>
      </w:r>
      <w:r>
        <w:t xml:space="preserve">. Repetir o mesmo evento não criará documento ou comunicação duplicados.</w:t>
      </w:r>
    </w:p>
    <w:p>
      <w:pPr>
        <w:pStyle w:val="Heading2"/>
        <w:keepNext/>
      </w:pPr>
      <w:r>
        <w:t xml:space="preserve">21. DISPOSIÇÕES GERAIS</w:t>
      </w:r>
    </w:p>
    <w:p>
      <w:pPr>
        <w:keepLines/>
        <w:spacing w:after="105" w:line="300"/>
      </w:pPr>
      <w:r>
        <w:t xml:space="preserve">21.1. Este contrato não cria vínculo empregatício, sociedade ou exclusividade entre as partes.</w:t>
      </w:r>
    </w:p>
    <w:p>
      <w:pPr>
        <w:keepLines/>
        <w:spacing w:after="105" w:line="300"/>
      </w:pPr>
      <w:r>
        <w:t xml:space="preserve">21.2. A tolerância eventual não altera o contrato nem implica renúncia.</w:t>
      </w:r>
    </w:p>
    <w:p>
      <w:pPr>
        <w:keepLines/>
        <w:spacing w:after="105" w:line="300"/>
      </w:pPr>
      <w:r>
        <w:t xml:space="preserve">21.3. A invalidade de uma disposição não deve afetar as demais, na medida permitida pela legislação aplicável.</w:t>
      </w:r>
    </w:p>
    <w:p>
      <w:pPr>
        <w:keepLines/>
        <w:spacing w:after="105" w:line="300"/>
      </w:pPr>
      <w:r>
        <w:t xml:space="preserve">21.4. A cessão deste contrato depende de regra a ser validada juridicamente.</w:t>
      </w:r>
    </w:p>
    <w:p>
      <w:pPr>
        <w:keepLines/>
        <w:spacing w:after="105" w:line="300"/>
      </w:pPr>
      <w:r>
        <w:t xml:space="preserve">21.5. Os anexos e o snapshot associado à versão assinada integram o contrato.</w:t>
      </w:r>
    </w:p>
    <w:p>
      <w:pPr>
        <w:pStyle w:val="Heading2"/>
        <w:keepNext/>
      </w:pPr>
      <w:r>
        <w:t xml:space="preserve">22. LEI APLICÁVEL E RESOLUÇÃO DE CONFLITOS</w:t>
      </w:r>
    </w:p>
    <w:p>
      <w:pPr>
        <w:keepLines/>
        <w:spacing w:after="105" w:line="300"/>
      </w:pPr>
      <w:r>
        <w:t xml:space="preserve">22.1. Aplica-se a legislação brasileira.</w:t>
      </w:r>
    </w:p>
    <w:p>
      <w:pPr>
        <w:keepLines/>
        <w:spacing w:after="105" w:line="300"/>
      </w:pPr>
      <w:r>
        <w:t xml:space="preserve">22.2. </w:t>
      </w:r>
      <w:r>
        <w:rPr>
          <w:b/>
          <w:bCs/>
        </w:rPr>
        <w:t xml:space="preserve">[DECISÃO PENDENTE — NÃO ENVIAR PARA ASSINATURA]</w:t>
      </w:r>
      <w:r>
        <w:t xml:space="preserve"> Definir negociação prévia, mediação, foro competente e eventuais regras especiais aplicáveis à relação, sem transportar o foro dos contratos antigos.</w:t>
      </w:r>
    </w:p>
    <w:p>
      <w:pPr>
        <w:pStyle w:val="Heading2"/>
        <w:keepNext/>
      </w:pPr>
      <w:r>
        <w:t xml:space="preserve">ASSINATURAS</w:t>
      </w:r>
    </w:p>
    <w:p>
      <w:pPr>
        <w:keepLines/>
        <w:spacing w:after="105" w:line="300"/>
      </w:pPr>
      <w:r>
        <w:t xml:space="preserve">Local e data: </w:t>
      </w:r>
      <w:r>
        <w:rPr>
          <w:rFonts w:ascii="Consolas" w:cs="Consolas" w:eastAsia="Consolas" w:hAnsi="Consolas"/>
          <w:color w:val="23395B"/>
          <w:sz w:val="19"/>
          <w:szCs w:val="19"/>
          <w:shd w:fill="EEF2F7" w:color="auto" w:val="clear"/>
        </w:rPr>
        <w:t xml:space="preserve">{{contrato.local_e_data_assinatura}}</w:t>
      </w:r>
    </w:p>
    <w:p>
      <w:pPr>
        <w:keepLines/>
        <w:spacing w:after="105" w:line="300"/>
      </w:pPr>
      <w:r>
        <w:rPr>
          <w:b/>
          <w:bCs/>
        </w:rPr>
        <w:t xml:space="preserve">V2G AGÊNCIAS DE PUBLICIDADE LTDA.</w:t>
      </w:r>
    </w:p>
    <w:p>
      <w:pPr>
        <w:keepLines/>
        <w:spacing w:after="105" w:line="300"/>
      </w:pPr>
      <w:r>
        <w:t xml:space="preserve">Victor Cabral Nascimento Silva</w:t>
      </w:r>
    </w:p>
    <w:p>
      <w:pPr>
        <w:keepLines/>
        <w:spacing w:after="105" w:line="300"/>
      </w:pPr>
      <w:r>
        <w:t xml:space="preserve">Qualificação: </w:t>
      </w:r>
      <w:r>
        <w:rPr>
          <w:rFonts w:ascii="Consolas" w:cs="Consolas" w:eastAsia="Consolas" w:hAnsi="Consolas"/>
          <w:color w:val="23395B"/>
          <w:sz w:val="19"/>
          <w:szCs w:val="19"/>
          <w:shd w:fill="EEF2F7" w:color="auto" w:val="clear"/>
        </w:rPr>
        <w:t xml:space="preserve">{{prestador.representante_qualificacao_validada}}</w:t>
      </w:r>
    </w:p>
    <w:p>
      <w:pPr>
        <w:keepLines/>
        <w:spacing w:after="105" w:line="300"/>
      </w:pPr>
      <w:r>
        <w:t xml:space="preserve">Assinatura: </w:t>
      </w:r>
      <w:r>
        <w:rPr>
          <w:rFonts w:ascii="Consolas" w:cs="Consolas" w:eastAsia="Consolas" w:hAnsi="Consolas"/>
          <w:color w:val="23395B"/>
          <w:sz w:val="19"/>
          <w:szCs w:val="19"/>
          <w:shd w:fill="EEF2F7" w:color="auto" w:val="clear"/>
        </w:rPr>
        <w:t xml:space="preserve">{{assinatura.v2g.status}}</w:t>
      </w:r>
    </w:p>
    <w:p>
      <w:pPr>
        <w:keepLines/>
        <w:spacing w:after="105" w:line="300"/>
      </w:pPr>
      <w:r>
        <w:rPr>
          <w:b/>
          <w:bCs/>
        </w:rPr>
        <w:t xml:space="preserve">{{contratante.razao_social}}</w:t>
      </w:r>
    </w:p>
    <w:p>
      <w:pPr>
        <w:keepLines/>
        <w:spacing w:after="105" w:line="300"/>
      </w:pPr>
      <w:r>
        <w:rPr>
          <w:rFonts w:ascii="Consolas" w:cs="Consolas" w:eastAsia="Consolas" w:hAnsi="Consolas"/>
          <w:color w:val="23395B"/>
          <w:sz w:val="19"/>
          <w:szCs w:val="19"/>
          <w:shd w:fill="EEF2F7" w:color="auto" w:val="clear"/>
        </w:rPr>
        <w:t xml:space="preserve">{{signatario.nome}}</w:t>
      </w:r>
    </w:p>
    <w:p>
      <w:pPr>
        <w:keepLines/>
        <w:spacing w:after="105" w:line="300"/>
      </w:pPr>
      <w:r>
        <w:t xml:space="preserve">Qualificação e poderes: </w:t>
      </w:r>
      <w:r>
        <w:rPr>
          <w:rFonts w:ascii="Consolas" w:cs="Consolas" w:eastAsia="Consolas" w:hAnsi="Consolas"/>
          <w:color w:val="23395B"/>
          <w:sz w:val="19"/>
          <w:szCs w:val="19"/>
          <w:shd w:fill="EEF2F7" w:color="auto" w:val="clear"/>
        </w:rPr>
        <w:t xml:space="preserve">{{signatario.papel_e_poderes}}</w:t>
      </w:r>
    </w:p>
    <w:p>
      <w:pPr>
        <w:keepLines/>
        <w:spacing w:after="105" w:line="300"/>
      </w:pPr>
      <w:r>
        <w:t xml:space="preserve">Assinatura: </w:t>
      </w:r>
      <w:r>
        <w:rPr>
          <w:rFonts w:ascii="Consolas" w:cs="Consolas" w:eastAsia="Consolas" w:hAnsi="Consolas"/>
          <w:color w:val="23395B"/>
          <w:sz w:val="19"/>
          <w:szCs w:val="19"/>
          <w:shd w:fill="EEF2F7" w:color="auto" w:val="clear"/>
        </w:rPr>
        <w:t xml:space="preserve">{{assinatura.contratante.status}}</w:t>
      </w:r>
    </w:p>
    <w:p>
      <w:pPr>
        <w:pStyle w:val="Heading2"/>
        <w:keepNext/>
        <w:pageBreakBefore/>
      </w:pPr>
      <w:r>
        <w:t xml:space="preserve">ANEXO A — RESUMO DO PEDIDO E UNIDADES CONTRATADAS</w:t>
      </w:r>
    </w:p>
    <w:tbl>
      <w:tblPr>
        <w:tblW w:type="dxa" w:w="9026"/>
        <w:tblBorders>
          <w:top w:val="single" w:color="D7DEE7" w:sz="4"/>
          <w:left w:val="single" w:color="D7DEE7" w:sz="4"/>
          <w:bottom w:val="single" w:color="D7DEE7" w:sz="4"/>
          <w:right w:val="single" w:color="D7DEE7" w:sz="4"/>
          <w:insideH w:val="single" w:color="D7DEE7" w:sz="3"/>
          <w:insideV w:val="single" w:color="D7DEE7" w:sz="3"/>
        </w:tblBorders>
      </w:tblPr>
      <w:tblGrid>
        <w:gridCol w:w="4513"/>
        <w:gridCol w:w="4513"/>
      </w:tblGrid>
      <w:tr>
        <w:trPr>
          <w:cantSplit/>
        </w:trPr>
        <w:tc>
          <w:tcPr>
            <w:tcW w:type="dxa" w:w="4513"/>
            <w:shd w:fill="15243A" w:color="auto" w:val="clear"/>
            <w:tcMar>
              <w:top w:type="dxa" w:w="90"/>
              <w:left w:type="dxa" w:w="100"/>
              <w:bottom w:type="dxa" w:w="90"/>
              <w:right w:type="dxa" w:w="100"/>
            </w:tcMar>
          </w:tcPr>
          <w:p>
            <w:pPr>
              <w:spacing w:after="0"/>
            </w:pPr>
            <w:r>
              <w:rPr>
                <w:b/>
                <w:bCs/>
                <w:color w:val="FFFFFF"/>
                <w:sz w:val="19"/>
                <w:szCs w:val="19"/>
              </w:rPr>
              <w:t xml:space="preserve">Campo</w:t>
            </w:r>
          </w:p>
        </w:tc>
        <w:tc>
          <w:tcPr>
            <w:tcW w:type="dxa" w:w="4513"/>
            <w:shd w:fill="15243A" w:color="auto" w:val="clear"/>
            <w:tcMar>
              <w:top w:type="dxa" w:w="90"/>
              <w:left w:type="dxa" w:w="100"/>
              <w:bottom w:type="dxa" w:w="90"/>
              <w:right w:type="dxa" w:w="100"/>
            </w:tcMar>
          </w:tcPr>
          <w:p>
            <w:pPr>
              <w:spacing w:after="0"/>
            </w:pPr>
            <w:r>
              <w:rPr>
                <w:b/>
                <w:bCs/>
                <w:color w:val="FFFFFF"/>
                <w:sz w:val="19"/>
                <w:szCs w:val="19"/>
              </w:rPr>
              <w:t xml:space="preserve">Valor</w:t>
            </w:r>
          </w:p>
        </w:tc>
      </w:tr>
      <w:tr>
        <w:trPr>
          <w:cantSplit/>
        </w:trPr>
        <w:tc>
          <w:tcPr>
            <w:tcW w:type="dxa" w:w="4513"/>
            <w:shd w:fill="FFFFFF" w:color="auto" w:val="clear"/>
            <w:tcMar>
              <w:top w:type="dxa" w:w="90"/>
              <w:left w:type="dxa" w:w="100"/>
              <w:bottom w:type="dxa" w:w="90"/>
              <w:right w:type="dxa" w:w="100"/>
            </w:tcMar>
          </w:tcPr>
          <w:p>
            <w:pPr>
              <w:spacing w:after="0"/>
            </w:pPr>
            <w:r>
              <w:rPr>
                <w:b w:val="false"/>
                <w:bCs w:val="false"/>
                <w:color w:val="15243A"/>
                <w:sz w:val="19"/>
                <w:szCs w:val="19"/>
              </w:rPr>
              <w:t xml:space="preserve">Pedido</w:t>
            </w:r>
          </w:p>
        </w:tc>
        <w:tc>
          <w:tcPr>
            <w:tcW w:type="dxa" w:w="4513"/>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{{pedido.id}}</w:t>
            </w:r>
          </w:p>
        </w:tc>
      </w:tr>
      <w:tr>
        <w:trPr>
          <w:cantSplit/>
        </w:trPr>
        <w:tc>
          <w:tcPr>
            <w:tcW w:type="dxa" w:w="4513"/>
            <w:shd w:fill="FFFFFF" w:color="auto" w:val="clear"/>
            <w:tcMar>
              <w:top w:type="dxa" w:w="90"/>
              <w:left w:type="dxa" w:w="100"/>
              <w:bottom w:type="dxa" w:w="90"/>
              <w:right w:type="dxa" w:w="100"/>
            </w:tcMar>
          </w:tcPr>
          <w:p>
            <w:pPr>
              <w:spacing w:after="0"/>
            </w:pPr>
            <w:r>
              <w:rPr>
                <w:b w:val="false"/>
                <w:bCs w:val="false"/>
                <w:color w:val="15243A"/>
                <w:sz w:val="19"/>
                <w:szCs w:val="19"/>
              </w:rPr>
              <w:t xml:space="preserve">Contratante</w:t>
            </w:r>
          </w:p>
        </w:tc>
        <w:tc>
          <w:tcPr>
            <w:tcW w:type="dxa" w:w="4513"/>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{{contratante.razao_social}}</w:t>
            </w:r>
          </w:p>
        </w:tc>
      </w:tr>
      <w:tr>
        <w:trPr>
          <w:cantSplit/>
        </w:trPr>
        <w:tc>
          <w:tcPr>
            <w:tcW w:type="dxa" w:w="4513"/>
            <w:shd w:fill="FFFFFF" w:color="auto" w:val="clear"/>
            <w:tcMar>
              <w:top w:type="dxa" w:w="90"/>
              <w:left w:type="dxa" w:w="100"/>
              <w:bottom w:type="dxa" w:w="90"/>
              <w:right w:type="dxa" w:w="100"/>
            </w:tcMar>
          </w:tcPr>
          <w:p>
            <w:pPr>
              <w:spacing w:after="0"/>
            </w:pPr>
            <w:r>
              <w:rPr>
                <w:b w:val="false"/>
                <w:bCs w:val="false"/>
                <w:color w:val="15243A"/>
                <w:sz w:val="19"/>
                <w:szCs w:val="19"/>
              </w:rPr>
              <w:t xml:space="preserve">CNPJ</w:t>
            </w:r>
          </w:p>
        </w:tc>
        <w:tc>
          <w:tcPr>
            <w:tcW w:type="dxa" w:w="4513"/>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{{contratante.cnpj}}</w:t>
            </w:r>
          </w:p>
        </w:tc>
      </w:tr>
      <w:tr>
        <w:trPr>
          <w:cantSplit/>
        </w:trPr>
        <w:tc>
          <w:tcPr>
            <w:tcW w:type="dxa" w:w="4513"/>
            <w:shd w:fill="FFFFFF" w:color="auto" w:val="clear"/>
            <w:tcMar>
              <w:top w:type="dxa" w:w="90"/>
              <w:left w:type="dxa" w:w="100"/>
              <w:bottom w:type="dxa" w:w="90"/>
              <w:right w:type="dxa" w:w="100"/>
            </w:tcMar>
          </w:tcPr>
          <w:p>
            <w:pPr>
              <w:spacing w:after="0"/>
            </w:pPr>
            <w:r>
              <w:rPr>
                <w:b w:val="false"/>
                <w:bCs w:val="false"/>
                <w:color w:val="15243A"/>
                <w:sz w:val="19"/>
                <w:szCs w:val="19"/>
              </w:rPr>
              <w:t xml:space="preserve">Plano</w:t>
            </w:r>
          </w:p>
        </w:tc>
        <w:tc>
          <w:tcPr>
            <w:tcW w:type="dxa" w:w="4513"/>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{{pedido.periodicidade}}</w:t>
            </w:r>
          </w:p>
        </w:tc>
      </w:tr>
      <w:tr>
        <w:trPr>
          <w:cantSplit/>
        </w:trPr>
        <w:tc>
          <w:tcPr>
            <w:tcW w:type="dxa" w:w="4513"/>
            <w:shd w:fill="FFFFFF" w:color="auto" w:val="clear"/>
            <w:tcMar>
              <w:top w:type="dxa" w:w="90"/>
              <w:left w:type="dxa" w:w="100"/>
              <w:bottom w:type="dxa" w:w="90"/>
              <w:right w:type="dxa" w:w="100"/>
            </w:tcMar>
          </w:tcPr>
          <w:p>
            <w:pPr>
              <w:spacing w:after="0"/>
            </w:pPr>
            <w:r>
              <w:rPr>
                <w:b w:val="false"/>
                <w:bCs w:val="false"/>
                <w:color w:val="15243A"/>
                <w:sz w:val="19"/>
                <w:szCs w:val="19"/>
              </w:rPr>
              <w:t xml:space="preserve">Forma de pagamento</w:t>
            </w:r>
          </w:p>
        </w:tc>
        <w:tc>
          <w:tcPr>
            <w:tcW w:type="dxa" w:w="4513"/>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{{pedido.forma_de_pagamento}}</w:t>
            </w:r>
          </w:p>
        </w:tc>
      </w:tr>
      <w:tr>
        <w:trPr>
          <w:cantSplit/>
        </w:trPr>
        <w:tc>
          <w:tcPr>
            <w:tcW w:type="dxa" w:w="4513"/>
            <w:shd w:fill="FFFFFF" w:color="auto" w:val="clear"/>
            <w:tcMar>
              <w:top w:type="dxa" w:w="90"/>
              <w:left w:type="dxa" w:w="100"/>
              <w:bottom w:type="dxa" w:w="90"/>
              <w:right w:type="dxa" w:w="100"/>
            </w:tcMar>
          </w:tcPr>
          <w:p>
            <w:pPr>
              <w:spacing w:after="0"/>
            </w:pPr>
            <w:r>
              <w:rPr>
                <w:b w:val="false"/>
                <w:bCs w:val="false"/>
                <w:color w:val="15243A"/>
                <w:sz w:val="19"/>
                <w:szCs w:val="19"/>
              </w:rPr>
              <w:t xml:space="preserve">Quantidade de contas</w:t>
            </w:r>
          </w:p>
        </w:tc>
        <w:tc>
          <w:tcPr>
            <w:tcW w:type="dxa" w:w="4513"/>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{{pedido.quantidade_de_contas}}</w:t>
            </w:r>
          </w:p>
        </w:tc>
      </w:tr>
      <w:tr>
        <w:trPr>
          <w:cantSplit/>
        </w:trPr>
        <w:tc>
          <w:tcPr>
            <w:tcW w:type="dxa" w:w="4513"/>
            <w:shd w:fill="FFFFFF" w:color="auto" w:val="clear"/>
            <w:tcMar>
              <w:top w:type="dxa" w:w="90"/>
              <w:left w:type="dxa" w:w="100"/>
              <w:bottom w:type="dxa" w:w="90"/>
              <w:right w:type="dxa" w:w="100"/>
            </w:tcMar>
          </w:tcPr>
          <w:p>
            <w:pPr>
              <w:spacing w:after="0"/>
            </w:pPr>
            <w:r>
              <w:rPr>
                <w:b w:val="false"/>
                <w:bCs w:val="false"/>
                <w:color w:val="15243A"/>
                <w:sz w:val="19"/>
                <w:szCs w:val="19"/>
              </w:rPr>
              <w:t xml:space="preserve">Preço unitário</w:t>
            </w:r>
          </w:p>
        </w:tc>
        <w:tc>
          <w:tcPr>
            <w:tcW w:type="dxa" w:w="4513"/>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{{pedido.valor_unitario_formatado}}</w:t>
            </w:r>
          </w:p>
        </w:tc>
      </w:tr>
      <w:tr>
        <w:trPr>
          <w:cantSplit/>
        </w:trPr>
        <w:tc>
          <w:tcPr>
            <w:tcW w:type="dxa" w:w="4513"/>
            <w:shd w:fill="FFFFFF" w:color="auto" w:val="clear"/>
            <w:tcMar>
              <w:top w:type="dxa" w:w="90"/>
              <w:left w:type="dxa" w:w="100"/>
              <w:bottom w:type="dxa" w:w="90"/>
              <w:right w:type="dxa" w:w="100"/>
            </w:tcMar>
          </w:tcPr>
          <w:p>
            <w:pPr>
              <w:spacing w:after="0"/>
            </w:pPr>
            <w:r>
              <w:rPr>
                <w:b w:val="false"/>
                <w:bCs w:val="false"/>
                <w:color w:val="15243A"/>
                <w:sz w:val="19"/>
                <w:szCs w:val="19"/>
              </w:rPr>
              <w:t xml:space="preserve">Desconto</w:t>
            </w:r>
          </w:p>
        </w:tc>
        <w:tc>
          <w:tcPr>
            <w:tcW w:type="dxa" w:w="4513"/>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{{pedido.desconto_percentual}}%</w:t>
            </w:r>
          </w:p>
        </w:tc>
      </w:tr>
      <w:tr>
        <w:trPr>
          <w:cantSplit/>
        </w:trPr>
        <w:tc>
          <w:tcPr>
            <w:tcW w:type="dxa" w:w="4513"/>
            <w:shd w:fill="FFFFFF" w:color="auto" w:val="clear"/>
            <w:tcMar>
              <w:top w:type="dxa" w:w="90"/>
              <w:left w:type="dxa" w:w="100"/>
              <w:bottom w:type="dxa" w:w="90"/>
              <w:right w:type="dxa" w:w="100"/>
            </w:tcMar>
          </w:tcPr>
          <w:p>
            <w:pPr>
              <w:spacing w:after="0"/>
            </w:pPr>
            <w:r>
              <w:rPr>
                <w:b w:val="false"/>
                <w:bCs w:val="false"/>
                <w:color w:val="15243A"/>
                <w:sz w:val="19"/>
                <w:szCs w:val="19"/>
              </w:rPr>
              <w:t xml:space="preserve">Total</w:t>
            </w:r>
          </w:p>
        </w:tc>
        <w:tc>
          <w:tcPr>
            <w:tcW w:type="dxa" w:w="4513"/>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{{pedido.valor_total_formatado}}</w:t>
            </w:r>
          </w:p>
        </w:tc>
      </w:tr>
      <w:tr>
        <w:trPr>
          <w:cantSplit/>
        </w:trPr>
        <w:tc>
          <w:tcPr>
            <w:tcW w:type="dxa" w:w="4513"/>
            <w:shd w:fill="FFFFFF" w:color="auto" w:val="clear"/>
            <w:tcMar>
              <w:top w:type="dxa" w:w="90"/>
              <w:left w:type="dxa" w:w="100"/>
              <w:bottom w:type="dxa" w:w="90"/>
              <w:right w:type="dxa" w:w="100"/>
            </w:tcMar>
          </w:tcPr>
          <w:p>
            <w:pPr>
              <w:spacing w:after="0"/>
            </w:pPr>
            <w:r>
              <w:rPr>
                <w:b w:val="false"/>
                <w:bCs w:val="false"/>
                <w:color w:val="15243A"/>
                <w:sz w:val="19"/>
                <w:szCs w:val="19"/>
              </w:rPr>
              <w:t xml:space="preserve">Pagamento aprovado em</w:t>
            </w:r>
          </w:p>
        </w:tc>
        <w:tc>
          <w:tcPr>
            <w:tcW w:type="dxa" w:w="4513"/>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{{pedido.pagamento_aprovado_em}}</w:t>
            </w:r>
          </w:p>
        </w:tc>
      </w:tr>
      <w:tr>
        <w:trPr>
          <w:cantSplit/>
        </w:trPr>
        <w:tc>
          <w:tcPr>
            <w:tcW w:type="dxa" w:w="4513"/>
            <w:shd w:fill="FFFFFF" w:color="auto" w:val="clear"/>
            <w:tcMar>
              <w:top w:type="dxa" w:w="90"/>
              <w:left w:type="dxa" w:w="100"/>
              <w:bottom w:type="dxa" w:w="90"/>
              <w:right w:type="dxa" w:w="100"/>
            </w:tcMar>
          </w:tcPr>
          <w:p>
            <w:pPr>
              <w:spacing w:after="0"/>
            </w:pPr>
            <w:r>
              <w:rPr>
                <w:b w:val="false"/>
                <w:bCs w:val="false"/>
                <w:color w:val="15243A"/>
                <w:sz w:val="19"/>
                <w:szCs w:val="19"/>
              </w:rPr>
              <w:t xml:space="preserve">Início da vigência</w:t>
            </w:r>
          </w:p>
        </w:tc>
        <w:tc>
          <w:tcPr>
            <w:tcW w:type="dxa" w:w="4513"/>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{{contrato.data_inicio_aprovada}}</w:t>
            </w:r>
          </w:p>
        </w:tc>
      </w:tr>
      <w:tr>
        <w:trPr>
          <w:cantSplit/>
        </w:trPr>
        <w:tc>
          <w:tcPr>
            <w:tcW w:type="dxa" w:w="4513"/>
            <w:shd w:fill="FFFFFF" w:color="auto" w:val="clear"/>
            <w:tcMar>
              <w:top w:type="dxa" w:w="90"/>
              <w:left w:type="dxa" w:w="100"/>
              <w:bottom w:type="dxa" w:w="90"/>
              <w:right w:type="dxa" w:w="100"/>
            </w:tcMar>
          </w:tcPr>
          <w:p>
            <w:pPr>
              <w:spacing w:after="0"/>
            </w:pPr>
            <w:r>
              <w:rPr>
                <w:b w:val="false"/>
                <w:bCs w:val="false"/>
                <w:color w:val="15243A"/>
                <w:sz w:val="19"/>
                <w:szCs w:val="19"/>
              </w:rPr>
              <w:t xml:space="preserve">Vencimento</w:t>
            </w:r>
          </w:p>
        </w:tc>
        <w:tc>
          <w:tcPr>
            <w:tcW w:type="dxa" w:w="4513"/>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{{pedido.dia_de_vencimento}}</w:t>
            </w:r>
          </w:p>
        </w:tc>
      </w:tr>
    </w:tbl>
    <w:p>
      <w:pPr>
        <w:spacing w:after="80"/>
      </w:pPr>
    </w:p>
    <w:p>
      <w:pPr>
        <w:pStyle w:val="Heading3"/>
        <w:keepNext/>
      </w:pPr>
      <w:r>
        <w:t xml:space="preserve">Unidades</w:t>
      </w:r>
    </w:p>
    <w:p>
      <w:pPr>
        <w:keepLines/>
        <w:spacing w:after="105" w:line="300"/>
      </w:pPr>
      <w:r>
        <w:rPr>
          <w:rFonts w:ascii="Consolas" w:cs="Consolas" w:eastAsia="Consolas" w:hAnsi="Consolas"/>
          <w:color w:val="23395B"/>
          <w:sz w:val="19"/>
          <w:szCs w:val="19"/>
          <w:shd w:fill="EEF2F7" w:color="auto" w:val="clear"/>
        </w:rPr>
        <w:t xml:space="preserve">{{#pedido.unidades}}</w:t>
      </w:r>
    </w:p>
    <w:p>
      <w:pPr>
        <w:pStyle w:val="ListParagraph"/>
        <w:numPr>
          <w:ilvl w:val="0"/>
          <w:numId w:val="2"/>
        </w:numPr>
        <w:spacing w:after="80"/>
      </w:pPr>
      <w:r>
        <w:t xml:space="preserve">Unidade </w:t>
      </w:r>
      <w:r>
        <w:rPr>
          <w:rFonts w:ascii="Consolas" w:cs="Consolas" w:eastAsia="Consolas" w:hAnsi="Consolas"/>
          <w:color w:val="23395B"/>
          <w:sz w:val="19"/>
          <w:szCs w:val="19"/>
          <w:shd w:fill="EEF2F7" w:color="auto" w:val="clear"/>
        </w:rPr>
        <w:t xml:space="preserve">{{ordinal}}</w:t>
      </w:r>
    </w:p>
    <w:p>
      <w:pPr>
        <w:pStyle w:val="ListParagraph"/>
        <w:numPr>
          <w:ilvl w:val="0"/>
          <w:numId w:val="2"/>
        </w:numPr>
        <w:spacing w:after="80"/>
      </w:pPr>
      <w:r>
        <w:t xml:space="preserve">Negócio/operação: </w:t>
      </w:r>
      <w:r>
        <w:rPr>
          <w:rFonts w:ascii="Consolas" w:cs="Consolas" w:eastAsia="Consolas" w:hAnsi="Consolas"/>
          <w:color w:val="23395B"/>
          <w:sz w:val="19"/>
          <w:szCs w:val="19"/>
          <w:shd w:fill="EEF2F7" w:color="auto" w:val="clear"/>
        </w:rPr>
        <w:t xml:space="preserve">{{operacao_nome}}</w:t>
      </w:r>
    </w:p>
    <w:p>
      <w:pPr>
        <w:pStyle w:val="ListParagraph"/>
        <w:numPr>
          <w:ilvl w:val="0"/>
          <w:numId w:val="2"/>
        </w:numPr>
        <w:spacing w:after="80"/>
      </w:pPr>
      <w:r>
        <w:t xml:space="preserve">Identificador interno do negócio: </w:t>
      </w:r>
      <w:r>
        <w:rPr>
          <w:rFonts w:ascii="Consolas" w:cs="Consolas" w:eastAsia="Consolas" w:hAnsi="Consolas"/>
          <w:color w:val="23395B"/>
          <w:sz w:val="19"/>
          <w:szCs w:val="19"/>
          <w:shd w:fill="EEF2F7" w:color="auto" w:val="clear"/>
        </w:rPr>
        <w:t xml:space="preserve">{{negocio_id}}</w:t>
      </w:r>
    </w:p>
    <w:p>
      <w:pPr>
        <w:pStyle w:val="ListParagraph"/>
        <w:numPr>
          <w:ilvl w:val="0"/>
          <w:numId w:val="2"/>
        </w:numPr>
        <w:spacing w:after="80"/>
      </w:pPr>
      <w:r>
        <w:t xml:space="preserve">Conta de anúncios: </w:t>
      </w:r>
      <w:r>
        <w:rPr>
          <w:rFonts w:ascii="Consolas" w:cs="Consolas" w:eastAsia="Consolas" w:hAnsi="Consolas"/>
          <w:color w:val="23395B"/>
          <w:sz w:val="19"/>
          <w:szCs w:val="19"/>
          <w:shd w:fill="EEF2F7" w:color="auto" w:val="clear"/>
        </w:rPr>
        <w:t xml:space="preserve">{{conta_anuncios.nome}}</w:t>
      </w:r>
    </w:p>
    <w:p>
      <w:pPr>
        <w:pStyle w:val="ListParagraph"/>
        <w:numPr>
          <w:ilvl w:val="0"/>
          <w:numId w:val="2"/>
        </w:numPr>
        <w:spacing w:after="80"/>
      </w:pPr>
      <w:r>
        <w:t xml:space="preserve">Identificador externo da conta: </w:t>
      </w:r>
      <w:r>
        <w:rPr>
          <w:rFonts w:ascii="Consolas" w:cs="Consolas" w:eastAsia="Consolas" w:hAnsi="Consolas"/>
          <w:color w:val="23395B"/>
          <w:sz w:val="19"/>
          <w:szCs w:val="19"/>
          <w:shd w:fill="EEF2F7" w:color="auto" w:val="clear"/>
        </w:rPr>
        <w:t xml:space="preserve">{{conta_anuncios.id_externo}}</w:t>
      </w:r>
    </w:p>
    <w:p>
      <w:pPr>
        <w:pStyle w:val="ListParagraph"/>
        <w:numPr>
          <w:ilvl w:val="0"/>
          <w:numId w:val="2"/>
        </w:numPr>
        <w:spacing w:after="80"/>
      </w:pPr>
      <w:r>
        <w:t xml:space="preserve">Plataforma: </w:t>
      </w:r>
      <w:r>
        <w:rPr>
          <w:rFonts w:ascii="Consolas" w:cs="Consolas" w:eastAsia="Consolas" w:hAnsi="Consolas"/>
          <w:color w:val="23395B"/>
          <w:sz w:val="19"/>
          <w:szCs w:val="19"/>
          <w:shd w:fill="EEF2F7" w:color="auto" w:val="clear"/>
        </w:rPr>
        <w:t xml:space="preserve">{{conta_anuncios.plataforma}}</w:t>
      </w:r>
    </w:p>
    <w:p>
      <w:pPr>
        <w:pStyle w:val="ListParagraph"/>
        <w:numPr>
          <w:ilvl w:val="0"/>
          <w:numId w:val="2"/>
        </w:numPr>
        <w:spacing w:after="80"/>
      </w:pPr>
      <w:r>
        <w:t xml:space="preserve">Titularidade declarada: </w:t>
      </w:r>
      <w:r>
        <w:rPr>
          <w:rFonts w:ascii="Consolas" w:cs="Consolas" w:eastAsia="Consolas" w:hAnsi="Consolas"/>
          <w:color w:val="23395B"/>
          <w:sz w:val="19"/>
          <w:szCs w:val="19"/>
          <w:shd w:fill="EEF2F7" w:color="auto" w:val="clear"/>
        </w:rPr>
        <w:t xml:space="preserve">{{conta_anuncios.titularidade}}</w:t>
      </w:r>
    </w:p>
    <w:p>
      <w:pPr>
        <w:pStyle w:val="ListParagraph"/>
        <w:numPr>
          <w:ilvl w:val="0"/>
          <w:numId w:val="2"/>
        </w:numPr>
        <w:spacing w:after="80"/>
      </w:pPr>
      <w:r>
        <w:t xml:space="preserve">Estado de identificação: </w:t>
      </w:r>
      <w:r>
        <w:rPr>
          <w:rFonts w:ascii="Consolas" w:cs="Consolas" w:eastAsia="Consolas" w:hAnsi="Consolas"/>
          <w:color w:val="23395B"/>
          <w:sz w:val="19"/>
          <w:szCs w:val="19"/>
          <w:shd w:fill="EEF2F7" w:color="auto" w:val="clear"/>
        </w:rPr>
        <w:t xml:space="preserve">{{conta_anuncios.estado_identificacao}}</w:t>
      </w:r>
    </w:p>
    <w:p>
      <w:pPr>
        <w:keepLines/>
        <w:spacing w:after="105" w:line="300"/>
      </w:pPr>
      <w:r>
        <w:rPr>
          <w:rFonts w:ascii="Consolas" w:cs="Consolas" w:eastAsia="Consolas" w:hAnsi="Consolas"/>
          <w:color w:val="23395B"/>
          <w:sz w:val="19"/>
          <w:szCs w:val="19"/>
          <w:shd w:fill="EEF2F7" w:color="auto" w:val="clear"/>
        </w:rPr>
        <w:t xml:space="preserve">{{/pedido.unidades}}</w:t>
      </w:r>
    </w:p>
    <w:p>
      <w:pPr>
        <w:keepLines/>
        <w:spacing w:after="105" w:line="300"/>
      </w:pPr>
      <w:r>
        <w:t xml:space="preserve">Conta ainda não identificada deverá aparecer como </w:t>
      </w:r>
      <w:r>
        <w:rPr>
          <w:b/>
          <w:bCs/>
        </w:rPr>
        <w:t xml:space="preserve">pendente</w:t>
      </w:r>
      <w:r>
        <w:t xml:space="preserve">, sem criação de identificador fictício e sem bloquear a geração da versão para revisão. O envio à assinatura poderá ser condicionado à identificação conforme decisão jurídica e operacional.</w:t>
      </w:r>
    </w:p>
    <w:p>
      <w:pPr>
        <w:pStyle w:val="Heading2"/>
        <w:keepNext/>
        <w:pageBreakBefore/>
      </w:pPr>
      <w:r>
        <w:t xml:space="preserve">ANEXO B — MAPA DE VARIÁVEIS E FONTES</w:t>
      </w:r>
    </w:p>
    <w:tbl>
      <w:tblPr>
        <w:tblW w:type="dxa" w:w="9026"/>
        <w:tblBorders>
          <w:top w:val="single" w:color="D7DEE7" w:sz="4"/>
          <w:left w:val="single" w:color="D7DEE7" w:sz="4"/>
          <w:bottom w:val="single" w:color="D7DEE7" w:sz="4"/>
          <w:right w:val="single" w:color="D7DEE7" w:sz="4"/>
          <w:insideH w:val="single" w:color="D7DEE7" w:sz="3"/>
          <w:insideV w:val="single" w:color="D7DEE7" w:sz="3"/>
        </w:tblBorders>
      </w:tblPr>
      <w:tblGrid>
        <w:gridCol w:w="2256"/>
        <w:gridCol w:w="2256"/>
        <w:gridCol w:w="2256"/>
        <w:gridCol w:w="2258"/>
      </w:tblGrid>
      <w:tr>
        <w:trPr>
          <w:cantSplit/>
        </w:trPr>
        <w:tc>
          <w:tcPr>
            <w:tcW w:type="dxa" w:w="2256"/>
            <w:shd w:fill="15243A" w:color="auto" w:val="clear"/>
            <w:tcMar>
              <w:top w:type="dxa" w:w="90"/>
              <w:left w:type="dxa" w:w="100"/>
              <w:bottom w:type="dxa" w:w="90"/>
              <w:right w:type="dxa" w:w="100"/>
            </w:tcMar>
          </w:tcPr>
          <w:p>
            <w:pPr>
              <w:spacing w:after="0"/>
            </w:pPr>
            <w:r>
              <w:rPr>
                <w:b/>
                <w:bCs/>
                <w:color w:val="FFFFFF"/>
                <w:sz w:val="19"/>
                <w:szCs w:val="19"/>
              </w:rPr>
              <w:t xml:space="preserve">Variável</w:t>
            </w:r>
          </w:p>
        </w:tc>
        <w:tc>
          <w:tcPr>
            <w:tcW w:type="dxa" w:w="2256"/>
            <w:shd w:fill="15243A" w:color="auto" w:val="clear"/>
            <w:tcMar>
              <w:top w:type="dxa" w:w="90"/>
              <w:left w:type="dxa" w:w="100"/>
              <w:bottom w:type="dxa" w:w="90"/>
              <w:right w:type="dxa" w:w="100"/>
            </w:tcMar>
          </w:tcPr>
          <w:p>
            <w:pPr>
              <w:spacing w:after="0"/>
            </w:pPr>
            <w:r>
              <w:rPr>
                <w:b/>
                <w:bCs/>
                <w:color w:val="FFFFFF"/>
                <w:sz w:val="19"/>
                <w:szCs w:val="19"/>
              </w:rPr>
              <w:t xml:space="preserve">Obrigatória</w:t>
            </w:r>
          </w:p>
        </w:tc>
        <w:tc>
          <w:tcPr>
            <w:tcW w:type="dxa" w:w="2256"/>
            <w:shd w:fill="15243A" w:color="auto" w:val="clear"/>
            <w:tcMar>
              <w:top w:type="dxa" w:w="90"/>
              <w:left w:type="dxa" w:w="100"/>
              <w:bottom w:type="dxa" w:w="90"/>
              <w:right w:type="dxa" w:w="100"/>
            </w:tcMar>
          </w:tcPr>
          <w:p>
            <w:pPr>
              <w:spacing w:after="0"/>
            </w:pPr>
            <w:r>
              <w:rPr>
                <w:b/>
                <w:bCs/>
                <w:color w:val="FFFFFF"/>
                <w:sz w:val="19"/>
                <w:szCs w:val="19"/>
              </w:rPr>
              <w:t xml:space="preserve">Origem</w:t>
            </w:r>
          </w:p>
        </w:tc>
        <w:tc>
          <w:tcPr>
            <w:tcW w:type="dxa" w:w="2258"/>
            <w:shd w:fill="15243A" w:color="auto" w:val="clear"/>
            <w:tcMar>
              <w:top w:type="dxa" w:w="90"/>
              <w:left w:type="dxa" w:w="100"/>
              <w:bottom w:type="dxa" w:w="90"/>
              <w:right w:type="dxa" w:w="100"/>
            </w:tcMar>
          </w:tcPr>
          <w:p>
            <w:pPr>
              <w:spacing w:after="0"/>
            </w:pPr>
            <w:r>
              <w:rPr>
                <w:b/>
                <w:bCs/>
                <w:color w:val="FFFFFF"/>
                <w:sz w:val="19"/>
                <w:szCs w:val="19"/>
              </w:rPr>
              <w:t xml:space="preserve">Validação mínima</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{{pedido.id}}</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commercial_orders.id</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UUID existente e pertencente ao pedido gerado</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{{contratante.razao_social}}</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commercial_orders.legal_name</w:t>
            </w:r>
            <w:r>
              <w:rPr>
                <w:b w:val="false"/>
                <w:bCs w:val="false"/>
                <w:color w:val="15243A"/>
                <w:sz w:val="19"/>
                <w:szCs w:val="19"/>
              </w:rPr>
              <w:t xml:space="preserve"> + revisão do comprador</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2–200 caracteres; não inferir nome empresarial a partir do nome fantasia</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{{contratante.cnpj}}</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commercial_orders.cnpj</w:t>
            </w:r>
            <w:r>
              <w:rPr>
                <w:b w:val="false"/>
                <w:bCs w:val="false"/>
                <w:color w:val="15243A"/>
                <w:sz w:val="19"/>
                <w:szCs w:val="19"/>
              </w:rPr>
              <w:t xml:space="preserve"> + validação cadastral definida</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14 dígitos e dígitos verificadores; um contrato por CNPJ</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{{contratante.nome_fantasia}}</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Não</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cadastro validado do contratante</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não substitui razão social</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{{contratante.endereco}}</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 para assinatura</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formulário contratual</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campos completos e revisão do contratante</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{{contratante.email_da_compra}}</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commercial_orders.buyer_email</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e-mail normalizado e verificado</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{{contratante.whatsapp}}</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 operacionalmente</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formulário/pedido</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E.164 ou formato nacional normalizado</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{{signatario.nome}}</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formulário contratual</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nome completo revisado pelo signatário</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{{signatario.cpf}}</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formulário contratual/provedor</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11 dígitos e verificadores; armazenar com acesso restrito</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{{signatario.papel_e_poderes}}</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declaração + documento/meio definido pelo jurídico</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ao menos um sócio, dono ou representante com poderes; não inferir pelo e-mail</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{{pedido.quantidade_de_contas}}</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commercial_orders.unit_count</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inteiro de 1 a 100 e igual ao número de unidades</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{{pedido.periodicidade}}</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commercial_orders.billing_period</w:t>
            </w:r>
          </w:p>
        </w:tc>
        <w:tc>
          <w:tcPr>
            <w:tcW w:type="dxa" w:w="2258"/>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monthly</w:t>
            </w:r>
            <w:r>
              <w:rPr>
                <w:b w:val="false"/>
                <w:bCs w:val="false"/>
                <w:color w:val="15243A"/>
                <w:sz w:val="19"/>
                <w:szCs w:val="19"/>
              </w:rPr>
              <w:t xml:space="preserve"> ou </w:t>
            </w:r>
            <w:r>
              <w:rPr>
                <w:rFonts w:ascii="Consolas" w:cs="Consolas" w:eastAsia="Consolas" w:hAnsi="Consolas"/>
                <w:b w:val="false"/>
                <w:bCs w:val="false"/>
                <w:color w:val="15243A"/>
                <w:sz w:val="19"/>
                <w:szCs w:val="19"/>
                <w:shd w:fill="EEF2F7" w:color="auto" w:val="clear"/>
              </w:rPr>
              <w:t xml:space="preserve">annual_upfront</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{{pedido.forma_de_pagamento}}</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commercial_orders.payment_method</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domínio persistido do pedido</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{{pedido.valor_unitario_formatado}}</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derivado do pedido</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mensal R$ 500,00; anual R$ 5.280,00</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{{pedido.valor_total_formatado}}</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derivado</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quantidade × valor unitário; nunca digitado livremente</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{{pedido.desconto_percentual}}</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derivado</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0 no mensal; 12 no anual à vista</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{{pedido.pagamento_aprovado_em}}</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 para liberar acesso</w:t>
            </w:r>
          </w:p>
        </w:tc>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commercial_orders.payment_approved_at</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só existe com estado </w:t>
            </w:r>
            <w:r>
              <w:rPr>
                <w:rFonts w:ascii="Consolas" w:cs="Consolas" w:eastAsia="Consolas" w:hAnsi="Consolas"/>
                <w:b w:val="false"/>
                <w:bCs w:val="false"/>
                <w:color w:val="15243A"/>
                <w:sz w:val="19"/>
                <w:szCs w:val="19"/>
                <w:shd w:fill="EEF2F7" w:color="auto" w:val="clear"/>
              </w:rPr>
              <w:t xml:space="preserve">payment_approved</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{{pedido.unidades}}</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commercial_order_units</w:t>
            </w:r>
            <w:r>
              <w:rPr>
                <w:b w:val="false"/>
                <w:bCs w:val="false"/>
                <w:color w:val="15243A"/>
                <w:sz w:val="19"/>
                <w:szCs w:val="19"/>
              </w:rPr>
              <w:t xml:space="preserve"> + </w:t>
            </w:r>
            <w:r>
              <w:rPr>
                <w:rFonts w:ascii="Consolas" w:cs="Consolas" w:eastAsia="Consolas" w:hAnsi="Consolas"/>
                <w:b w:val="false"/>
                <w:bCs w:val="false"/>
                <w:color w:val="15243A"/>
                <w:sz w:val="19"/>
                <w:szCs w:val="19"/>
                <w:shd w:fill="EEF2F7" w:color="auto" w:val="clear"/>
              </w:rPr>
              <w:t xml:space="preserve">ad_accounts</w:t>
            </w:r>
            <w:r>
              <w:rPr>
                <w:b w:val="false"/>
                <w:bCs w:val="false"/>
                <w:color w:val="15243A"/>
                <w:sz w:val="19"/>
                <w:szCs w:val="19"/>
              </w:rPr>
              <w:t xml:space="preserve"> quando vinculada</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quantidade igual ao pedido; não compartilhar entre CNPJs</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{{contrato.versao_minuta}}</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registro de templates aprovados</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identificador imutável e aprovação jurídica vinculada</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{{contrato.versao_documento}}</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gerador de documentos</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crescente dentro do pedido; correção pré-assinatura cria nova versão</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{{contrato.hash_conteudo}}</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 para envio</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gerador</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hash do arquivo exato enviado ao provedor</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{{contrato.data_inicio_aprovada}}</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 para assinatura</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regra jurídica aprovada + evento verificável</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ISO 8601; não inferir enquanto o marco estiver pendente</w:t>
            </w:r>
          </w:p>
        </w:tc>
      </w:tr>
      <w:tr>
        <w:trPr>
          <w:cantSplit/>
        </w:trPr>
        <w:tc>
          <w:tcPr>
            <w:tcW w:type="dxa" w:w="2256"/>
            <w:shd w:fill="FFFFFF" w:color="auto" w:val="clear"/>
            <w:tcMar>
              <w:top w:type="dxa" w:w="90"/>
              <w:left w:type="dxa" w:w="100"/>
              <w:bottom w:type="dxa" w:w="90"/>
              <w:right w:type="dxa" w:w="100"/>
            </w:tcMar>
          </w:tcPr>
          <w:p>
            <w:pPr>
              <w:spacing w:after="0"/>
            </w:pPr>
            <w:r>
              <w:rPr>
                <w:rFonts w:ascii="Consolas" w:cs="Consolas" w:eastAsia="Consolas" w:hAnsi="Consolas"/>
                <w:b w:val="false"/>
                <w:bCs w:val="false"/>
                <w:color w:val="15243A"/>
                <w:sz w:val="19"/>
                <w:szCs w:val="19"/>
                <w:shd w:fill="EEF2F7" w:color="auto" w:val="clear"/>
              </w:rPr>
              <w:t xml:space="preserve">{{assinatura.*.status}}</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Sim para controle</w:t>
            </w:r>
          </w:p>
        </w:tc>
        <w:tc>
          <w:tcPr>
            <w:tcW w:type="dxa" w:w="2256"/>
            <w:shd w:fill="FFFFFF" w:color="auto" w:val="clear"/>
            <w:tcMar>
              <w:top w:type="dxa" w:w="90"/>
              <w:left w:type="dxa" w:w="100"/>
              <w:bottom w:type="dxa" w:w="90"/>
              <w:right w:type="dxa" w:w="100"/>
            </w:tcMar>
          </w:tcPr>
          <w:p>
            <w:pPr>
              <w:spacing w:after="0"/>
            </w:pPr>
            <w:r>
              <w:rPr>
                <w:b w:val="false"/>
                <w:bCs w:val="false"/>
                <w:color w:val="15243A"/>
                <w:sz w:val="19"/>
                <w:szCs w:val="19"/>
              </w:rPr>
              <w:t xml:space="preserve">provedor de assinatura</w:t>
            </w:r>
          </w:p>
        </w:tc>
        <w:tc>
          <w:tcPr>
            <w:tcW w:type="dxa" w:w="2258"/>
            <w:shd w:fill="FFFFFF" w:color="auto" w:val="clear"/>
            <w:tcMar>
              <w:top w:type="dxa" w:w="90"/>
              <w:left w:type="dxa" w:w="100"/>
              <w:bottom w:type="dxa" w:w="90"/>
              <w:right w:type="dxa" w:w="100"/>
            </w:tcMar>
          </w:tcPr>
          <w:p>
            <w:pPr>
              <w:spacing w:after="0"/>
            </w:pPr>
            <w:r>
              <w:rPr>
                <w:b w:val="false"/>
                <w:bCs w:val="false"/>
                <w:color w:val="15243A"/>
                <w:sz w:val="19"/>
                <w:szCs w:val="19"/>
              </w:rPr>
              <w:t xml:space="preserve">evento autêntico; todos os signatários exigidos devem concluir</w:t>
            </w:r>
          </w:p>
        </w:tc>
      </w:tr>
    </w:tbl>
    <w:p>
      <w:pPr>
        <w:spacing w:after="80"/>
      </w:pPr>
    </w:p>
    <w:p>
      <w:pPr>
        <w:pStyle w:val="Heading2"/>
        <w:keepNext/>
        <w:pageBreakBefore/>
      </w:pPr>
      <w:r>
        <w:t xml:space="preserve">ANEXO C — DECISÕES PARA VICTOR E PARA O ADVOGADO</w:t>
      </w:r>
    </w:p>
    <w:p>
      <w:pPr>
        <w:pStyle w:val="Heading3"/>
        <w:keepNext/>
      </w:pPr>
      <w:r>
        <w:t xml:space="preserve">Victor</w:t>
      </w:r>
    </w:p>
    <w:p>
      <w:pPr>
        <w:pStyle w:val="ListParagraph"/>
        <w:numPr>
          <w:ilvl w:val="0"/>
          <w:numId w:val="3"/>
        </w:numPr>
        <w:spacing w:after="80"/>
      </w:pPr>
      <w:r>
        <w:t xml:space="preserve">Definir suporte: canal, janela de atendimento e prazo de resposta.</w:t>
      </w:r>
    </w:p>
    <w:p>
      <w:pPr>
        <w:pStyle w:val="ListParagraph"/>
        <w:numPr>
          <w:ilvl w:val="0"/>
          <w:numId w:val="3"/>
        </w:numPr>
        <w:spacing w:after="80"/>
      </w:pPr>
      <w:r>
        <w:t xml:space="preserve">Definir frequência e forma dos relatórios e se haverá reunião recorrente.</w:t>
      </w:r>
    </w:p>
    <w:p>
      <w:pPr>
        <w:pStyle w:val="ListParagraph"/>
        <w:numPr>
          <w:ilvl w:val="0"/>
          <w:numId w:val="3"/>
        </w:numPr>
        <w:spacing w:after="80"/>
      </w:pPr>
      <w:r>
        <w:t xml:space="preserve">Definir os canais formais para aprovações, orçamento e encerramento.</w:t>
      </w:r>
    </w:p>
    <w:p>
      <w:pPr>
        <w:pStyle w:val="ListParagraph"/>
        <w:numPr>
          <w:ilvl w:val="0"/>
          <w:numId w:val="3"/>
        </w:numPr>
        <w:spacing w:after="80"/>
      </w:pPr>
      <w:r>
        <w:t xml:space="preserve">Definir política desejada depois dos seis meses mínimos.</w:t>
      </w:r>
    </w:p>
    <w:p>
      <w:pPr>
        <w:pStyle w:val="ListParagraph"/>
        <w:numPr>
          <w:ilvl w:val="0"/>
          <w:numId w:val="3"/>
        </w:numPr>
        <w:spacing w:after="80"/>
      </w:pPr>
      <w:r>
        <w:t xml:space="preserve">Definir se divulgação como cliente/case será sempre uma autorização separada.</w:t>
      </w:r>
    </w:p>
    <w:p>
      <w:pPr>
        <w:pStyle w:val="Heading3"/>
        <w:keepNext/>
      </w:pPr>
      <w:r>
        <w:t xml:space="preserve">Advogado</w:t>
      </w:r>
    </w:p>
    <w:p>
      <w:pPr>
        <w:pStyle w:val="ListParagraph"/>
        <w:numPr>
          <w:ilvl w:val="0"/>
          <w:numId w:val="3"/>
        </w:numPr>
        <w:spacing w:after="80"/>
      </w:pPr>
      <w:r>
        <w:t xml:space="preserve">Saída antecipada: validar cobrança dos meses restantes, fórmula, limites e exceções.</w:t>
      </w:r>
    </w:p>
    <w:p>
      <w:pPr>
        <w:pStyle w:val="ListParagraph"/>
        <w:numPr>
          <w:ilvl w:val="0"/>
          <w:numId w:val="3"/>
        </w:numPr>
        <w:spacing w:after="80"/>
      </w:pPr>
      <w:r>
        <w:t xml:space="preserve">Anual antecipado: definir retenção, reembolso, crédito e efeitos do encerramento.</w:t>
      </w:r>
    </w:p>
    <w:p>
      <w:pPr>
        <w:pStyle w:val="ListParagraph"/>
        <w:numPr>
          <w:ilvl w:val="0"/>
          <w:numId w:val="3"/>
        </w:numPr>
        <w:spacing w:after="80"/>
      </w:pPr>
      <w:r>
        <w:t xml:space="preserve">Inadimplemento: definir carência, encargos, suspensão, avisos e retomada.</w:t>
      </w:r>
    </w:p>
    <w:p>
      <w:pPr>
        <w:pStyle w:val="ListParagraph"/>
        <w:numPr>
          <w:ilvl w:val="0"/>
          <w:numId w:val="3"/>
        </w:numPr>
        <w:spacing w:after="80"/>
      </w:pPr>
      <w:r>
        <w:t xml:space="preserve">Vigência e renovação: definir marco inicial, continuidade e reajuste.</w:t>
      </w:r>
    </w:p>
    <w:p>
      <w:pPr>
        <w:pStyle w:val="ListParagraph"/>
        <w:numPr>
          <w:ilvl w:val="0"/>
          <w:numId w:val="3"/>
        </w:numPr>
        <w:spacing w:after="80"/>
      </w:pPr>
      <w:r>
        <w:t xml:space="preserve">Responsabilidade: definir limites e exceções.</w:t>
      </w:r>
    </w:p>
    <w:p>
      <w:pPr>
        <w:pStyle w:val="ListParagraph"/>
        <w:numPr>
          <w:ilvl w:val="0"/>
          <w:numId w:val="3"/>
        </w:numPr>
        <w:spacing w:after="80"/>
      </w:pPr>
      <w:r>
        <w:t xml:space="preserve">LGPD: validar papéis, bases, suboperadores, retenção, incidentes e uso de dados agregados.</w:t>
      </w:r>
    </w:p>
    <w:p>
      <w:pPr>
        <w:pStyle w:val="ListParagraph"/>
        <w:numPr>
          <w:ilvl w:val="0"/>
          <w:numId w:val="3"/>
        </w:numPr>
        <w:spacing w:after="80"/>
      </w:pPr>
      <w:r>
        <w:t xml:space="preserve">Assinatura: validar modalidade, testemunhas, prova dos poderes e executividade.</w:t>
      </w:r>
    </w:p>
    <w:p>
      <w:pPr>
        <w:pStyle w:val="ListParagraph"/>
        <w:numPr>
          <w:ilvl w:val="0"/>
          <w:numId w:val="3"/>
        </w:numPr>
        <w:spacing w:after="80"/>
      </w:pPr>
      <w:r>
        <w:t xml:space="preserve">Propriedade intelectual, autorização de case, comunicações e foro.</w:t>
      </w:r>
    </w:p>
    <w:p>
      <w:pPr>
        <w:pStyle w:val="Heading2"/>
        <w:keepNext/>
        <w:pageBreakBefore/>
      </w:pPr>
      <w:r>
        <w:t xml:space="preserve">ANEXO D — FLUXO TÉCNICO FUTURO</w:t>
      </w:r>
    </w:p>
    <w:p>
      <w:pPr>
        <w:pStyle w:val="ListParagraph"/>
        <w:numPr>
          <w:ilvl w:val="0"/>
          <w:numId w:val="3"/>
        </w:numPr>
        <w:spacing w:after="80"/>
      </w:pPr>
      <w:r>
        <w:t xml:space="preserve">Selecionar somente uma versão de minuta expressamente aprovada pelo advogado.</w:t>
      </w:r>
    </w:p>
    <w:p>
      <w:pPr>
        <w:pStyle w:val="ListParagraph"/>
        <w:numPr>
          <w:ilvl w:val="0"/>
          <w:numId w:val="3"/>
        </w:numPr>
        <w:spacing w:after="80"/>
      </w:pPr>
      <w:r>
        <w:t xml:space="preserve">Carregar o pedido e os dados contratuais com procedência registrada.</w:t>
      </w:r>
    </w:p>
    <w:p>
      <w:pPr>
        <w:pStyle w:val="ListParagraph"/>
        <w:numPr>
          <w:ilvl w:val="0"/>
          <w:numId w:val="3"/>
        </w:numPr>
        <w:spacing w:after="80"/>
      </w:pPr>
      <w:r>
        <w:t xml:space="preserve">Validar campos obrigatórios, fórmulas, CNPJ, signatários e separação por empresa.</w:t>
      </w:r>
    </w:p>
    <w:p>
      <w:pPr>
        <w:pStyle w:val="ListParagraph"/>
        <w:numPr>
          <w:ilvl w:val="0"/>
          <w:numId w:val="3"/>
        </w:numPr>
        <w:spacing w:after="80"/>
      </w:pPr>
      <w:r>
        <w:t xml:space="preserve">Gerar snapshot, documento, versão e hash.</w:t>
      </w:r>
    </w:p>
    <w:p>
      <w:pPr>
        <w:pStyle w:val="ListParagraph"/>
        <w:numPr>
          <w:ilvl w:val="0"/>
          <w:numId w:val="3"/>
        </w:numPr>
        <w:spacing w:after="80"/>
      </w:pPr>
      <w:r>
        <w:t xml:space="preserve">Mostrar a versão preenchida para revisão antes do envio.</w:t>
      </w:r>
    </w:p>
    <w:p>
      <w:pPr>
        <w:pStyle w:val="ListParagraph"/>
        <w:numPr>
          <w:ilvl w:val="0"/>
          <w:numId w:val="3"/>
        </w:numPr>
        <w:spacing w:after="80"/>
      </w:pPr>
      <w:r>
        <w:t xml:space="preserve">Se houver correção, criar nova versão e marcar a anterior como substituída; não sobrescrever.</w:t>
      </w:r>
    </w:p>
    <w:p>
      <w:pPr>
        <w:pStyle w:val="ListParagraph"/>
        <w:numPr>
          <w:ilvl w:val="0"/>
          <w:numId w:val="3"/>
        </w:numPr>
        <w:spacing w:after="80"/>
      </w:pPr>
      <w:r>
        <w:t xml:space="preserve">Criar ou recuperar idempotentemente o documento pelo pedido e versão.</w:t>
      </w:r>
    </w:p>
    <w:p>
      <w:pPr>
        <w:pStyle w:val="ListParagraph"/>
        <w:numPr>
          <w:ilvl w:val="0"/>
          <w:numId w:val="3"/>
        </w:numPr>
        <w:spacing w:after="80"/>
      </w:pPr>
      <w:r>
        <w:t xml:space="preserve">Enviar ao provedor pendente com Victor e o representante da CONTRATANTE.</w:t>
      </w:r>
    </w:p>
    <w:p>
      <w:pPr>
        <w:pStyle w:val="ListParagraph"/>
        <w:numPr>
          <w:ilvl w:val="0"/>
          <w:numId w:val="3"/>
        </w:numPr>
        <w:spacing w:after="80"/>
      </w:pPr>
      <w:r>
        <w:t xml:space="preserve">Validar origem, identidade, documento, versão e repetição de cada evento recebido.</w:t>
      </w:r>
    </w:p>
    <w:p>
      <w:pPr>
        <w:pStyle w:val="ListParagraph"/>
        <w:numPr>
          <w:ilvl w:val="0"/>
          <w:numId w:val="3"/>
        </w:numPr>
        <w:spacing w:after="80"/>
      </w:pPr>
      <w:r>
        <w:t xml:space="preserve">Manter estado parcial até todas as assinaturas exigidas.</w:t>
      </w:r>
    </w:p>
    <w:p>
      <w:pPr>
        <w:pStyle w:val="ListParagraph"/>
        <w:numPr>
          <w:ilvl w:val="0"/>
          <w:numId w:val="3"/>
        </w:numPr>
        <w:spacing w:after="80"/>
      </w:pPr>
      <w:r>
        <w:t xml:space="preserve">Depois da conclusão, arquivar documento final, hash e trilha de auditoria e disponibilizar cópia.</w:t>
      </w:r>
    </w:p>
    <w:p>
      <w:pPr>
        <w:pStyle w:val="ListParagraph"/>
        <w:numPr>
          <w:ilvl w:val="0"/>
          <w:numId w:val="3"/>
        </w:numPr>
        <w:spacing w:after="80"/>
      </w:pPr>
      <w:r>
        <w:t xml:space="preserve">Preservar para sempre o arquivo assinado; qualquer alteração posterior exige aditivo ou novo contrato.</w:t>
      </w:r>
    </w:p>
    <w:p>
      <w:pPr>
        <w:pStyle w:val="ListParagraph"/>
        <w:numPr>
          <w:ilvl w:val="0"/>
          <w:numId w:val="3"/>
        </w:numPr>
        <w:spacing w:after="80"/>
      </w:pPr>
      <w:r>
        <w:t xml:space="preserve">Manter a primeira publicação bloqueada no WebApp e no serviço que efetivamente publica enquanto faltar assinatura comprovada.</w:t>
      </w:r>
    </w:p>
    <w:p>
      <w:pPr>
        <w:pStyle w:val="Heading2"/>
        <w:keepNext/>
        <w:pageBreakBefore/>
      </w:pPr>
      <w:r>
        <w:t xml:space="preserve">ANEXO E — CHECKLIST ANTES DE AUTOMATIZAR</w:t>
      </w:r>
    </w:p>
    <w:p>
      <w:pPr>
        <w:spacing w:after="80"/>
        <w:ind w:left="320" w:hanging="200"/>
      </w:pPr>
      <w:r>
        <w:rPr>
          <w:rFonts w:ascii="Segoe UI Symbol" w:cs="Segoe UI Symbol" w:eastAsia="Segoe UI Symbol" w:hAnsi="Segoe UI Symbol"/>
        </w:rPr>
        <w:t xml:space="preserve">☐ </w:t>
      </w:r>
      <w:r>
        <w:t xml:space="preserve">Advogado aprovou uma versão identificada da minuta e todas as decisões pendentes foram resolvidas.</w:t>
      </w:r>
    </w:p>
    <w:p>
      <w:pPr>
        <w:spacing w:after="80"/>
        <w:ind w:left="320" w:hanging="200"/>
      </w:pPr>
      <w:r>
        <w:rPr>
          <w:rFonts w:ascii="Segoe UI Symbol" w:cs="Segoe UI Symbol" w:eastAsia="Segoe UI Symbol" w:hAnsi="Segoe UI Symbol"/>
        </w:rPr>
        <w:t xml:space="preserve">☐ </w:t>
      </w:r>
      <w:r>
        <w:t xml:space="preserve">Dados societários e poderes de Victor foram conferidos.</w:t>
      </w:r>
    </w:p>
    <w:p>
      <w:pPr>
        <w:spacing w:after="80"/>
        <w:ind w:left="320" w:hanging="200"/>
      </w:pPr>
      <w:r>
        <w:rPr>
          <w:rFonts w:ascii="Segoe UI Symbol" w:cs="Segoe UI Symbol" w:eastAsia="Segoe UI Symbol" w:hAnsi="Segoe UI Symbol"/>
        </w:rPr>
        <w:t xml:space="preserve">☐ </w:t>
      </w:r>
      <w:r>
        <w:t xml:space="preserve">Campos e evidências dos poderes do representante do cliente foram definidos.</w:t>
      </w:r>
    </w:p>
    <w:p>
      <w:pPr>
        <w:spacing w:after="80"/>
        <w:ind w:left="320" w:hanging="200"/>
      </w:pPr>
      <w:r>
        <w:rPr>
          <w:rFonts w:ascii="Segoe UI Symbol" w:cs="Segoe UI Symbol" w:eastAsia="Segoe UI Symbol" w:hAnsi="Segoe UI Symbol"/>
        </w:rPr>
        <w:t xml:space="preserve">☐ </w:t>
      </w:r>
      <w:r>
        <w:t xml:space="preserve">Um contrato por CNPJ e uma unidade por conta foram confirmados no fluxo.</w:t>
      </w:r>
    </w:p>
    <w:p>
      <w:pPr>
        <w:spacing w:after="80"/>
        <w:ind w:left="320" w:hanging="200"/>
      </w:pPr>
      <w:r>
        <w:rPr>
          <w:rFonts w:ascii="Segoe UI Symbol" w:cs="Segoe UI Symbol" w:eastAsia="Segoe UI Symbol" w:hAnsi="Segoe UI Symbol"/>
        </w:rPr>
        <w:t xml:space="preserve">☐ </w:t>
      </w:r>
      <w:r>
        <w:t xml:space="preserve">Fórmulas de preço mensal e anual passaram em testes de limite e múltiplas unidades.</w:t>
      </w:r>
    </w:p>
    <w:p>
      <w:pPr>
        <w:spacing w:after="80"/>
        <w:ind w:left="320" w:hanging="200"/>
      </w:pPr>
      <w:r>
        <w:rPr>
          <w:rFonts w:ascii="Segoe UI Symbol" w:cs="Segoe UI Symbol" w:eastAsia="Segoe UI Symbol" w:hAnsi="Segoe UI Symbol"/>
        </w:rPr>
        <w:t xml:space="preserve">☐ </w:t>
      </w:r>
      <w:r>
        <w:t xml:space="preserve">Marco inicial, prazo mínimo, saída antecipada e anual antecipado foram aprovados.</w:t>
      </w:r>
    </w:p>
    <w:p>
      <w:pPr>
        <w:spacing w:after="80"/>
        <w:ind w:left="320" w:hanging="200"/>
      </w:pPr>
      <w:r>
        <w:rPr>
          <w:rFonts w:ascii="Segoe UI Symbol" w:cs="Segoe UI Symbol" w:eastAsia="Segoe UI Symbol" w:hAnsi="Segoe UI Symbol"/>
        </w:rPr>
        <w:t xml:space="preserve">☐ </w:t>
      </w:r>
      <w:r>
        <w:t xml:space="preserve">Inadimplência, renovação, reajuste, suporte, relatórios e comunicações foram aprovados.</w:t>
      </w:r>
    </w:p>
    <w:p>
      <w:pPr>
        <w:spacing w:after="80"/>
        <w:ind w:left="320" w:hanging="200"/>
      </w:pPr>
      <w:r>
        <w:rPr>
          <w:rFonts w:ascii="Segoe UI Symbol" w:cs="Segoe UI Symbol" w:eastAsia="Segoe UI Symbol" w:hAnsi="Segoe UI Symbol"/>
        </w:rPr>
        <w:t xml:space="preserve">☐ </w:t>
      </w:r>
      <w:r>
        <w:t xml:space="preserve">Cláusulas de LGPD, confidencialidade, propriedade intelectual e responsabilidade foram aprovadas.</w:t>
      </w:r>
    </w:p>
    <w:p>
      <w:pPr>
        <w:spacing w:after="80"/>
        <w:ind w:left="320" w:hanging="200"/>
      </w:pPr>
      <w:r>
        <w:rPr>
          <w:rFonts w:ascii="Segoe UI Symbol" w:cs="Segoe UI Symbol" w:eastAsia="Segoe UI Symbol" w:hAnsi="Segoe UI Symbol"/>
        </w:rPr>
        <w:t xml:space="preserve">☐ </w:t>
      </w:r>
      <w:r>
        <w:t xml:space="preserve">Provedor de assinatura foi identificado, contratado e testado em sandbox.</w:t>
      </w:r>
    </w:p>
    <w:p>
      <w:pPr>
        <w:spacing w:after="80"/>
        <w:ind w:left="320" w:hanging="200"/>
      </w:pPr>
      <w:r>
        <w:rPr>
          <w:rFonts w:ascii="Segoe UI Symbol" w:cs="Segoe UI Symbol" w:eastAsia="Segoe UI Symbol" w:hAnsi="Segoe UI Symbol"/>
        </w:rPr>
        <w:t xml:space="preserve">☐ </w:t>
      </w:r>
      <w:r>
        <w:t xml:space="preserve">Identidade, integridade, trilha de auditoria e todos os signatários foram comprovados.</w:t>
      </w:r>
    </w:p>
    <w:p>
      <w:pPr>
        <w:spacing w:after="80"/>
        <w:ind w:left="320" w:hanging="200"/>
      </w:pPr>
      <w:r>
        <w:rPr>
          <w:rFonts w:ascii="Segoe UI Symbol" w:cs="Segoe UI Symbol" w:eastAsia="Segoe UI Symbol" w:hAnsi="Segoe UI Symbol"/>
        </w:rPr>
        <w:t xml:space="preserve">☐ </w:t>
      </w:r>
      <w:r>
        <w:t xml:space="preserve">Correção pré-assinatura gera nova versão; documento assinado não pode ser sobrescrito.</w:t>
      </w:r>
    </w:p>
    <w:p>
      <w:pPr>
        <w:spacing w:after="80"/>
        <w:ind w:left="320" w:hanging="200"/>
      </w:pPr>
      <w:r>
        <w:rPr>
          <w:rFonts w:ascii="Segoe UI Symbol" w:cs="Segoe UI Symbol" w:eastAsia="Segoe UI Symbol" w:hAnsi="Segoe UI Symbol"/>
        </w:rPr>
        <w:t xml:space="preserve">☐ </w:t>
      </w:r>
      <w:r>
        <w:t xml:space="preserve">Idempotência foi testada com repetição e eventos fora de ordem.</w:t>
      </w:r>
    </w:p>
    <w:p>
      <w:pPr>
        <w:spacing w:after="80"/>
        <w:ind w:left="320" w:hanging="200"/>
      </w:pPr>
      <w:r>
        <w:rPr>
          <w:rFonts w:ascii="Segoe UI Symbol" w:cs="Segoe UI Symbol" w:eastAsia="Segoe UI Symbol" w:hAnsi="Segoe UI Symbol"/>
        </w:rPr>
        <w:t xml:space="preserve">☐ </w:t>
      </w:r>
      <w:r>
        <w:t xml:space="preserve">Cópia final e evidências são arquivadas e entregues com estado verificável.</w:t>
      </w:r>
    </w:p>
    <w:p>
      <w:pPr>
        <w:spacing w:after="80"/>
        <w:ind w:left="320" w:hanging="200"/>
      </w:pPr>
      <w:r>
        <w:rPr>
          <w:rFonts w:ascii="Segoe UI Symbol" w:cs="Segoe UI Symbol" w:eastAsia="Segoe UI Symbol" w:hAnsi="Segoe UI Symbol"/>
        </w:rPr>
        <w:t xml:space="preserve">☐ </w:t>
      </w:r>
      <w:r>
        <w:t xml:space="preserve">Trava de publicação foi testada também no serviço publicador, não só na interface.</w:t>
      </w:r>
    </w:p>
    <w:p>
      <w:pPr>
        <w:spacing w:after="80"/>
        <w:ind w:left="320" w:hanging="200"/>
      </w:pPr>
      <w:r>
        <w:rPr>
          <w:rFonts w:ascii="Segoe UI Symbol" w:cs="Segoe UI Symbol" w:eastAsia="Segoe UI Symbol" w:hAnsi="Segoe UI Symbol"/>
        </w:rPr>
        <w:t xml:space="preserve">☐ </w:t>
      </w:r>
      <w:r>
        <w:t xml:space="preserve">Falha do provedor mantém o contrato pendente e não libera publicação.</w:t>
      </w:r>
    </w:p>
    <w:p>
      <w:pPr>
        <w:spacing w:after="80"/>
        <w:ind w:left="320" w:hanging="200"/>
      </w:pPr>
      <w:r>
        <w:rPr>
          <w:rFonts w:ascii="Segoe UI Symbol" w:cs="Segoe UI Symbol" w:eastAsia="Segoe UI Symbol" w:hAnsi="Segoe UI Symbol"/>
        </w:rPr>
        <w:t xml:space="preserve">☐ </w:t>
      </w:r>
      <w:r>
        <w:t xml:space="preserve">Testes usam somente pessoas, empresas, CNPJs e contas fictícias.</w:t>
      </w:r>
    </w:p>
    <w:p>
      <w:pPr>
        <w:pStyle w:val="Heading2"/>
        <w:keepNext/>
      </w:pPr>
      <w:r>
        <w:t xml:space="preserve">REFERÊNCIAS OFICIAIS PARA REVISÃO JURÍDICA</w:t>
      </w:r>
    </w:p>
    <w:p>
      <w:pPr>
        <w:pStyle w:val="ListParagraph"/>
        <w:numPr>
          <w:ilvl w:val="0"/>
          <w:numId w:val="2"/>
        </w:numPr>
        <w:spacing w:after="80"/>
      </w:pPr>
      <w:r>
        <w:t xml:space="preserve">Medida Provisória nº 2.200-2/2001, especialmente o art. 10, sobre documentos eletrônicos e outros meios de comprovação de autoria e integridade.</w:t>
      </w:r>
    </w:p>
    <w:p>
      <w:pPr>
        <w:pStyle w:val="ListParagraph"/>
        <w:numPr>
          <w:ilvl w:val="0"/>
          <w:numId w:val="2"/>
        </w:numPr>
        <w:spacing w:after="80"/>
      </w:pPr>
      <w:r>
        <w:t xml:space="preserve">Lei nº 14.063/2020, especialmente a classificação das assinaturas eletrônicas, quando pertinente.</w:t>
      </w:r>
    </w:p>
    <w:p>
      <w:pPr>
        <w:pStyle w:val="ListParagraph"/>
        <w:numPr>
          <w:ilvl w:val="0"/>
          <w:numId w:val="2"/>
        </w:numPr>
        <w:spacing w:after="80"/>
      </w:pPr>
      <w:r>
        <w:t xml:space="preserve">Lei nº 13.709/2018 — Lei Geral de Proteção de Dados Pessoais.</w:t>
      </w:r>
    </w:p>
    <w:p>
      <w:pPr>
        <w:keepLines/>
        <w:spacing w:after="105" w:line="300"/>
      </w:pPr>
      <w:r>
        <w:t xml:space="preserve">Estas referências orientam a revisão; não substituem a análise do advogado sobre a relação concreta, a modalidade de assinatura, a necessidade de testemunhas ou a força executiva do documento.</w:t>
      </w:r>
    </w:p>
    <w:sectPr>
      <w:headerReference w:type="default" r:id="rId7"/>
      <w:footerReference w:type="default" r:id="rId8"/>
      <w:pgSz w:w="11906" w:h="16838" w:orient="portrait"/>
      <w:pgMar w:top="1134" w:right="1134" w:bottom="1134"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7" w:sz="4" w:space="4"/>
      </w:pBdr>
      <w:jc w:val="center"/>
    </w:pPr>
    <w:r>
      <w:rPr>
        <w:color w:val="526274"/>
        <w:sz w:val="16"/>
        <w:szCs w:val="16"/>
      </w:rPr>
      <w:t xml:space="preserve">minuta-interna-2026-10-09-v1 · página </w:t>
    </w:r>
    <w:r>
      <w:rPr>
        <w:color w:val="526274"/>
        <w:sz w:val="16"/>
        <w:szCs w:val="16"/>
      </w:rPr>
      <w:fldChar w:fldCharType="begin"/>
      <w:instrText xml:space="preserve">PAGE</w:instrText>
      <w:fldChar w:fldCharType="separate"/>
      <w:fldChar w:fldCharType="end"/>
    </w:r>
    <w:r>
      <w:rPr>
        <w:color w:val="526274"/>
        <w:sz w:val="16"/>
        <w:szCs w:val="16"/>
      </w:rPr>
      <w:t xml:space="preserve"> de </w:t>
    </w:r>
    <w:r>
      <w:rPr>
        <w:color w:val="5262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7" w:sz="4" w:space="4"/>
      </w:pBdr>
      <w:jc w:val="right"/>
    </w:pPr>
    <w:r>
      <w:rPr>
        <w:b/>
        <w:bCs/>
        <w:color w:val="526274"/>
        <w:sz w:val="16"/>
        <w:szCs w:val="16"/>
      </w:rPr>
      <w:t xml:space="preserve">V2G · MINUTA INTERNA PARA REVISÃO JURÍDICA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5243A"/>
        <w:sz w:val="21"/>
        <w:szCs w:val="21"/>
      </w:rPr>
    </w:rPrDefault>
    <w:pPrDefault>
      <w:pPr>
        <w:spacing w:after="105"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ptos Display" w:cs="Aptos Display" w:eastAsia="Aptos Display" w:hAnsi="Aptos Display"/>
      <w:b/>
      <w:bCs/>
      <w:color w:val="15243A"/>
      <w:sz w:val="30"/>
      <w:szCs w:val="30"/>
    </w:rPr>
  </w:style>
  <w:style w:type="paragraph" w:styleId="Heading2">
    <w:name w:val="Heading 2"/>
    <w:basedOn w:val="Normal"/>
    <w:next w:val="Normal"/>
    <w:qFormat/>
    <w:pPr>
      <w:pBdr>
        <w:bottom w:val="single" w:color="D7DEE7" w:sz="5" w:space="5"/>
      </w:pBdr>
      <w:spacing w:after="120" w:before="260"/>
      <w:outlineLvl w:val="1"/>
    </w:pPr>
    <w:rPr>
      <w:rFonts w:ascii="Aptos Display" w:cs="Aptos Display" w:eastAsia="Aptos Display" w:hAnsi="Aptos Display"/>
      <w:b/>
      <w:bCs/>
      <w:color w:val="15243A"/>
      <w:sz w:val="25"/>
      <w:szCs w:val="25"/>
    </w:rPr>
  </w:style>
  <w:style w:type="paragraph" w:styleId="Heading3">
    <w:name w:val="Heading 3"/>
    <w:basedOn w:val="Normal"/>
    <w:next w:val="Normal"/>
    <w:qFormat/>
    <w:pPr>
      <w:spacing w:after="90" w:before="180"/>
      <w:outlineLvl w:val="2"/>
    </w:pPr>
    <w:rPr>
      <w:rFonts w:ascii="Aptos" w:cs="Aptos" w:eastAsia="Aptos" w:hAnsi="Aptos"/>
      <w:b/>
      <w:bCs/>
      <w:color w:val="1524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parametrizada de contrato de prestação de serviços V2G</dc:title>
  <dc:subject>Minuta interna para revisão jurídica</dc:subject>
  <dc:creator>V2G</dc:creator>
  <dc:description>Versão minuta-interna-2026-10-09-v1. Não enviar para assinatura sem aprovação jurídica.</dc:description>
  <cp:lastModifiedBy>Un-named</cp:lastModifiedBy>
  <cp:revision>1</cp:revision>
  <dcterms:created xsi:type="dcterms:W3CDTF">2026-10-09T16:06:54.104Z</dcterms:created>
  <dcterms:modified xsi:type="dcterms:W3CDTF">2026-10-09T16:06:54.109Z</dcterms:modified>
</cp:coreProperties>
</file>

<file path=docProps/custom.xml><?xml version="1.0" encoding="utf-8"?>
<Properties xmlns="http://schemas.openxmlformats.org/officeDocument/2006/custom-properties" xmlns:vt="http://schemas.openxmlformats.org/officeDocument/2006/docPropsVTypes"/>
</file>