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3"/>
      <w:bookmarkEnd w:id="21"/>
      <w:r>
        <w:t xml:space="preserve">Cosmic Evolution of Nearby Radio Active Galactic Nuclei</w:t>
      </w:r>
    </w:p>
    <w:p>
      <w:pPr>
        <w:pStyle w:val="FirstParagraph"/>
      </w:pPr>
      <w:r>
        <w:t xml:space="preserve"/>
      </w:r>
    </w:p>
    <w:p>
      <w:pPr>
        <w:pStyle w:val="Heading2"/>
      </w:pPr>
      <w:bookmarkStart w:id="22" w:name="header-n7"/>
      <w:bookmarkEnd w:id="22"/>
      <w:r>
        <w:t xml:space="preserve">Authors</w:t>
      </w:r>
    </w:p>
    <w:p>
      <w:pPr>
        <w:numPr>
          <w:numId w:val="1001"/>
          <w:ilvl w:val="0"/>
        </w:numPr>
      </w:pPr>
      <w:r>
        <w:t xml:space="preserve">Irham Taufik Andika</w:t>
      </w:r>
      <m:oMath>
        <m:sSup>
          <m:e>
            <m:r>
              <m:t/>
            </m:r>
          </m:e>
          <m:sup>
            <m:r>
              <m:t>1</m:t>
            </m:r>
          </m:sup>
        </m:sSup>
      </m:oMath>
      <w:r>
        <w:t xml:space="preserve"> </w:t>
      </w:r>
    </w:p>
    <w:p>
      <w:pPr>
        <w:numPr>
          <w:numId w:val="1001"/>
          <w:ilvl w:val="0"/>
        </w:numPr>
      </w:pPr>
      <w:r>
        <w:t xml:space="preserve">Mochamad Ikbal Arifyanto</w:t>
      </w:r>
      <m:oMath>
        <m:sSup>
          <m:e>
            <m:r>
              <m:t/>
            </m:r>
          </m:e>
          <m:sup>
            <m:r>
              <m:t>2</m:t>
            </m:r>
          </m:sup>
        </m:sSup>
      </m:oMath>
    </w:p>
    <w:p>
      <w:pPr>
        <w:numPr>
          <w:numId w:val="1001"/>
          <w:ilvl w:val="0"/>
        </w:numPr>
      </w:pPr>
      <w:r>
        <w:t xml:space="preserve">Ade Nur Istiqomah</w:t>
      </w:r>
      <m:oMath>
        <m:sSup>
          <m:e>
            <m:r>
              <m:t/>
            </m:r>
          </m:e>
          <m:sup>
            <m:r>
              <m:t>1</m:t>
            </m:r>
          </m:sup>
        </m:sSup>
      </m:oMath>
    </w:p>
    <w:p>
      <w:pPr>
        <w:numPr>
          <w:numId w:val="1001"/>
          <w:ilvl w:val="0"/>
        </w:numPr>
      </w:pPr>
      <w:r>
        <w:t xml:space="preserve">Shinta Nur Amalina</w:t>
      </w:r>
      <m:oMath>
        <m:sSup>
          <m:e>
            <m:r>
              <m:t/>
            </m:r>
          </m:e>
          <m:sup>
            <m:r>
              <m:t>1</m:t>
            </m:r>
          </m:sup>
        </m:sSup>
      </m:oMath>
    </w:p>
    <w:p>
      <w:pPr>
        <w:numPr>
          <w:numId w:val="1001"/>
          <w:ilvl w:val="0"/>
        </w:numPr>
      </w:pPr>
      <w:r>
        <w:t xml:space="preserve">Aprilia</w:t>
      </w:r>
      <m:oMath>
        <m:sSup>
          <m:e>
            <m:r>
              <m:t/>
            </m:r>
          </m:e>
          <m:sup>
            <m:r>
              <m:t>2</m:t>
            </m:r>
          </m:sup>
        </m:sSup>
      </m:oMath>
    </w:p>
    <w:p>
      <w:pPr>
        <w:numPr>
          <w:numId w:val="1001"/>
          <w:ilvl w:val="0"/>
        </w:numPr>
      </w:pPr>
      <w:r>
        <w:t xml:space="preserve">Muhamad Irfan Hakim</w:t>
      </w:r>
      <m:oMath>
        <m:sSup>
          <m:e>
            <m:r>
              <m:t/>
            </m:r>
          </m:e>
          <m:sup>
            <m:r>
              <m:t>2</m:t>
            </m:r>
          </m:sup>
        </m:sSup>
      </m:oMath>
    </w:p>
    <w:p>
      <w:pPr>
        <w:pStyle w:val="FirstParagraph"/>
      </w:pPr>
      <w:r>
        <w:t xml:space="preserve"/>
      </w:r>
    </w:p>
    <w:p>
      <w:pPr>
        <w:pStyle w:val="BodyText"/>
      </w:pPr>
      <w:r>
        <w:t xml:space="preserve"/>
      </w:r>
    </w:p>
    <w:p>
      <w:pPr>
        <w:pStyle w:val="Heading2"/>
      </w:pPr>
      <w:bookmarkStart w:id="23" w:name="header-n31"/>
      <w:bookmarkEnd w:id="23"/>
      <w:r>
        <w:t xml:space="preserve">Affiliations</w:t>
      </w:r>
    </w:p>
    <w:p>
      <w:pPr>
        <w:pStyle w:val="FirstParagraph"/>
      </w:pPr>
      <m:oMath>
        <m:sSup>
          <m:e>
            <m:r>
              <m:t/>
            </m:r>
          </m:e>
          <m:sup>
            <m:r>
              <m:t>1</m:t>
            </m:r>
          </m:sup>
        </m:sSup>
      </m:oMath>
      <w:r>
        <w:t xml:space="preserve"> </w:t>
      </w:r>
      <w:r>
        <w:t xml:space="preserve">Astronomy Study Program, Faculty of Mathematics and Natural Sciences, Institut Teknologi Bandung, Jl. Ganesha No. 10, Bandung 40116, Indonesia.</w:t>
      </w:r>
    </w:p>
    <w:p>
      <w:pPr>
        <w:pStyle w:val="BodyText"/>
      </w:pPr>
      <m:oMath>
        <m:sSup>
          <m:e>
            <m:r>
              <m:t/>
            </m:r>
          </m:e>
          <m:sup>
            <m:r>
              <m:t>2</m:t>
            </m:r>
          </m:sup>
        </m:sSup>
      </m:oMath>
      <w:r>
        <w:t xml:space="preserve">Astronomy Research Division, Faculty of Mathematics and Natural Sciences, Institut Teknologi Bandung, Jl. Ganesha No. 10, Bandung 40116, Indonesia.</w:t>
      </w:r>
    </w:p>
    <w:p>
      <w:pPr>
        <w:pStyle w:val="BodyText"/>
      </w:pPr>
      <w:r>
        <w:t xml:space="preserve"/>
      </w:r>
    </w:p>
    <w:p>
      <w:pPr>
        <w:pStyle w:val="BodyText"/>
      </w:pPr>
      <w:r>
        <w:t xml:space="preserve"/>
      </w:r>
    </w:p>
    <w:p>
      <w:pPr>
        <w:pStyle w:val="Heading2"/>
      </w:pPr>
      <w:bookmarkStart w:id="24" w:name="header-n40"/>
      <w:bookmarkEnd w:id="24"/>
      <w:r>
        <w:t xml:space="preserve">Abstract</w:t>
      </w:r>
    </w:p>
    <w:p>
      <w:pPr>
        <w:pStyle w:val="FirstParagraph"/>
      </w:pPr>
      <w:r>
        <w:t xml:space="preserve">Understanding massive galaxy formation is one of major quests in modern astrophysics. Radio emission from active galactic nucleus (AGN) is known to be suppressing stellar growth in the most massive galaxies, thus becoming significant ingredient in modeling galaxy formation process. Radio luminosity function at different cosmic redshifts</w:t>
      </w:r>
      <w:r>
        <w:t xml:space="preserve"> </w:t>
      </w:r>
      <m:oMath>
        <m:r>
          <m:t>(</m:t>
        </m:r>
        <m:r>
          <m:t>z</m:t>
        </m:r>
        <m:r>
          <m:t>)</m:t>
        </m:r>
      </m:oMath>
      <w:r>
        <w:t xml:space="preserve"> </w:t>
      </w:r>
      <w:r>
        <w:t xml:space="preserve">can be used to measure the evolution of radio AGN, while also providing constraints on galaxy evolution models</w:t>
      </w:r>
      <w:r>
        <w:t xml:space="preserve"> </w:t>
      </w:r>
      <w:r>
        <w:rPr>
          <w:b/>
        </w:rPr>
        <w:t xml:space="preserve">[5]</w:t>
      </w:r>
      <w:r>
        <w:t xml:space="preserve">.</w:t>
      </w:r>
    </w:p>
    <w:p>
      <w:pPr>
        <w:pStyle w:val="BodyText"/>
      </w:pPr>
      <w:r>
        <w:t xml:space="preserve">In this work, we derived the</w:t>
      </w:r>
      <w:r>
        <w:t xml:space="preserve"> </w:t>
      </w:r>
      <m:oMath>
        <m:r>
          <m:t>1.4</m:t>
        </m:r>
      </m:oMath>
      <w:r>
        <w:t xml:space="preserve"> </w:t>
      </w:r>
      <w:r>
        <w:t xml:space="preserve">GHz radio luminosity function for radio AGN at</w:t>
      </w:r>
      <w:r>
        <w:t xml:space="preserve"> </w:t>
      </w:r>
      <m:oMath>
        <m:r>
          <m:t>0.1</m:t>
        </m:r>
        <m:r>
          <m:t>≤</m:t>
        </m:r>
        <m:r>
          <m:t>z</m:t>
        </m:r>
        <m:r>
          <m:t>≤</m:t>
        </m:r>
        <m:r>
          <m:t>1.3</m:t>
        </m:r>
      </m:oMath>
      <w:r>
        <w:t xml:space="preserve">. The radio data was taken from deep VLA observation of Stripe 82 field at angular resolution of</w:t>
      </w:r>
      <w:r>
        <w:t xml:space="preserve"> </w:t>
      </w:r>
      <m:oMath>
        <m:r>
          <m:t>1.8</m:t>
        </m:r>
      </m:oMath>
      <w:r>
        <w:t xml:space="preserve">" and</w:t>
      </w:r>
      <w:r>
        <w:t xml:space="preserve"> </w:t>
      </w:r>
      <m:oMath>
        <m:r>
          <m:t>52</m:t>
        </m:r>
      </m:oMath>
      <w:r>
        <w:t xml:space="preserve"> </w:t>
      </w:r>
      <m:oMath>
        <m:r>
          <m:t>μ</m:t>
        </m:r>
      </m:oMath>
      <w:r>
        <w:t xml:space="preserve">Jy sensitivity</w:t>
      </w:r>
      <w:r>
        <w:t xml:space="preserve"> </w:t>
      </w:r>
      <w:r>
        <w:rPr>
          <w:b/>
        </w:rPr>
        <w:t xml:space="preserve">[2]</w:t>
      </w:r>
      <w:r>
        <w:t xml:space="preserve">. On the other hand, the optical/near-infrared data was taken from Dark Energy Survey DR1 observation in</w:t>
      </w:r>
      <w:r>
        <w:t xml:space="preserve"> </w:t>
      </w:r>
      <m:oMath>
        <m:r>
          <m:t>g</m:t>
        </m:r>
        <m:r>
          <m:t>,</m:t>
        </m:r>
        <m:r>
          <m:t>r</m:t>
        </m:r>
        <m:r>
          <m:t>,</m:t>
        </m:r>
        <m:r>
          <m:t>i</m:t>
        </m:r>
        <m:r>
          <m:t>,</m:t>
        </m:r>
        <m:r>
          <m:t>z</m:t>
        </m:r>
        <m:r>
          <m:t>,</m:t>
        </m:r>
        <m:r>
          <m:t>Y</m:t>
        </m:r>
      </m:oMath>
      <w:r>
        <w:t xml:space="preserve"> </w:t>
      </w:r>
      <w:r>
        <w:t xml:space="preserve">bands with co-added catalog limiting magnitude of</w:t>
      </w:r>
      <w:r>
        <w:t xml:space="preserve"> </w:t>
      </w:r>
      <m:oMath>
        <m:r>
          <m:t>i</m:t>
        </m:r>
        <m:r>
          <m:t>=</m:t>
        </m:r>
        <m:r>
          <m:t>23.44</m:t>
        </m:r>
      </m:oMath>
      <w:r>
        <w:t xml:space="preserve"> </w:t>
      </w:r>
      <w:r>
        <w:rPr>
          <w:b/>
        </w:rPr>
        <w:t xml:space="preserve">[1]</w:t>
      </w:r>
      <w:r>
        <w:t xml:space="preserve">.</w:t>
      </w:r>
    </w:p>
    <w:p>
      <w:pPr>
        <w:pStyle w:val="BodyText"/>
      </w:pPr>
      <w:r>
        <w:t xml:space="preserve">We estimated the photometric redshift (photo-</w:t>
      </w:r>
      <m:oMath>
        <m:r>
          <m:t>z</m:t>
        </m:r>
      </m:oMath>
      <w:r>
        <w:t xml:space="preserve">) of each sources by using combined two machine learning algorithms: neural networks and boosted regression trees</w:t>
      </w:r>
      <w:r>
        <w:t xml:space="preserve"> </w:t>
      </w:r>
      <w:r>
        <w:rPr>
          <w:b/>
        </w:rPr>
        <w:t xml:space="preserve">[4]</w:t>
      </w:r>
      <w:r>
        <w:t xml:space="preserve">. We successfully performed accurate photo-</w:t>
      </w:r>
      <m:oMath>
        <m:r>
          <m:t>z</m:t>
        </m:r>
      </m:oMath>
      <w:r>
        <w:t xml:space="preserve"> </w:t>
      </w:r>
      <w:r>
        <w:t xml:space="preserve">measurement with average bias</w:t>
      </w:r>
      <w:r>
        <w:t xml:space="preserve"> </w:t>
      </w:r>
      <m:oMath>
        <m:r>
          <m:t>⟨</m:t>
        </m:r>
        <m:r>
          <m:t>δ</m:t>
        </m:r>
        <m:r>
          <m:t>⟩</m:t>
        </m:r>
        <m:r>
          <m:t>=</m:t>
        </m:r>
        <m:r>
          <m:t>−</m:t>
        </m:r>
        <m:r>
          <m:t>3.5</m:t>
        </m:r>
        <m:r>
          <m:t>×</m:t>
        </m:r>
        <m:sSup>
          <m:e>
            <m:r>
              <m:t>10</m:t>
            </m:r>
          </m:e>
          <m:sup>
            <m:r>
              <m:t>−</m:t>
            </m:r>
            <m:r>
              <m:t>3</m:t>
            </m:r>
          </m:sup>
        </m:sSup>
      </m:oMath>
      <w:r>
        <w:t xml:space="preserve">, scatter</w:t>
      </w:r>
      <w:r>
        <w:t xml:space="preserve"> </w:t>
      </w:r>
      <m:oMath>
        <m:r>
          <m:t>⟨</m:t>
        </m:r>
        <m:r>
          <m:t>σ</m:t>
        </m:r>
        <m:r>
          <m:t>⟩</m:t>
        </m:r>
        <m:r>
          <m:t>=</m:t>
        </m:r>
        <m:r>
          <m:t>0.15</m:t>
        </m:r>
      </m:oMath>
      <w:r>
        <w:t xml:space="preserve"> </w:t>
      </w:r>
      <w:r>
        <w:t xml:space="preserve">and outlier fraction</w:t>
      </w:r>
      <w:r>
        <w:t xml:space="preserve"> </w:t>
      </w:r>
      <m:oMath>
        <m:r>
          <m:t>⟨</m:t>
        </m:r>
        <m:r>
          <m:t>f</m:t>
        </m:r>
        <m:r>
          <m:t>(</m:t>
        </m:r>
        <m:r>
          <m:t>3</m:t>
        </m:r>
        <m:r>
          <m:t>σ</m:t>
        </m:r>
        <m:r>
          <m:t>)</m:t>
        </m:r>
        <m:r>
          <m:t>⟩</m:t>
        </m:r>
        <m:r>
          <m:t>=</m:t>
        </m:r>
        <m:r>
          <m:t>0.06</m:t>
        </m:r>
      </m:oMath>
      <w:r>
        <w:t xml:space="preserve">.</w:t>
      </w:r>
    </w:p>
    <w:p>
      <w:pPr>
        <w:pStyle w:val="BodyText"/>
      </w:pPr>
      <w:r>
        <w:t xml:space="preserve">By using</w:t>
      </w:r>
      <w:r>
        <w:t xml:space="preserve"> </w:t>
      </w:r>
      <w:r>
        <w:t xml:space="preserve">$1/V_{\rm max}$</w:t>
      </w:r>
      <w:r>
        <w:t xml:space="preserve"> </w:t>
      </w:r>
      <w:r>
        <w:t xml:space="preserve">method, we calculated the luminosity function, then constrained the the evolution of this population via pure density evolution (PDE) or pure luminosity evolution (PLE) model</w:t>
      </w:r>
      <w:r>
        <w:t xml:space="preserve"> </w:t>
      </w:r>
      <w:r>
        <w:rPr>
          <w:b/>
        </w:rPr>
        <w:t xml:space="preserve">[3, 5]</w:t>
      </w:r>
      <w:r>
        <w:t xml:space="preserve">. At median</w:t>
      </w:r>
      <w:r>
        <w:t xml:space="preserve"> </w:t>
      </w:r>
      <m:oMath>
        <m:r>
          <m:t>z</m:t>
        </m:r>
        <m:r>
          <m:t>=</m:t>
        </m:r>
        <m:r>
          <m:t>{</m:t>
        </m:r>
        <m:r>
          <m:t>0.31</m:t>
        </m:r>
        <m:r>
          <m:t>,</m:t>
        </m:r>
        <m:r>
          <m:t>0.59</m:t>
        </m:r>
        <m:r>
          <m:t>,</m:t>
        </m:r>
        <m:r>
          <m:t>0.88</m:t>
        </m:r>
        <m:r>
          <m:t>,</m:t>
        </m:r>
        <m:r>
          <m:t>1.10</m:t>
        </m:r>
        <m:r>
          <m:t>}</m:t>
        </m:r>
      </m:oMath>
      <w:r>
        <w:t xml:space="preserve">, we found the power-law index of PDE is</w:t>
      </w:r>
      <w:r>
        <w:t xml:space="preserve"> </w:t>
      </w:r>
      <m:oMath>
        <m:sSub>
          <m:e>
            <m:r>
              <m:t>α</m:t>
            </m:r>
          </m:e>
          <m:sub>
            <m:r>
              <m:t>D</m:t>
            </m:r>
          </m:sub>
        </m:sSub>
        <m:r>
          <m:t>=</m:t>
        </m:r>
        <m:r>
          <m:t>{</m:t>
        </m:r>
        <m:r>
          <m:t>1.29</m:t>
        </m:r>
        <m:r>
          <m:t>,</m:t>
        </m:r>
        <m:r>
          <m:t>1.43</m:t>
        </m:r>
        <m:r>
          <m:t>,</m:t>
        </m:r>
        <m:r>
          <m:t>1.73</m:t>
        </m:r>
        <m:r>
          <m:t>,</m:t>
        </m:r>
        <m:r>
          <m:t>0.94</m:t>
        </m:r>
        <m:r>
          <m:t>}</m:t>
        </m:r>
      </m:oMath>
      <w:r>
        <w:t xml:space="preserve"> </w:t>
      </w:r>
      <w:r>
        <w:t xml:space="preserve">while for PLE is</w:t>
      </w:r>
      <w:r>
        <w:t xml:space="preserve"> </w:t>
      </w:r>
      <m:oMath>
        <m:sSub>
          <m:e>
            <m:r>
              <m:t>α</m:t>
            </m:r>
          </m:e>
          <m:sub>
            <m:r>
              <m:t>L</m:t>
            </m:r>
          </m:sub>
        </m:sSub>
        <m:r>
          <m:t>=</m:t>
        </m:r>
        <m:r>
          <m:t>{</m:t>
        </m:r>
        <m:r>
          <m:t>2.28</m:t>
        </m:r>
        <m:r>
          <m:t>,</m:t>
        </m:r>
        <m:r>
          <m:t>2.59</m:t>
        </m:r>
        <m:r>
          <m:t>,</m:t>
        </m:r>
        <m:r>
          <m:t>3.19</m:t>
        </m:r>
        <m:r>
          <m:t>,</m:t>
        </m:r>
        <m:r>
          <m:t>1.63</m:t>
        </m:r>
        <m:r>
          <m:t>}</m:t>
        </m:r>
      </m:oMath>
      <w:r>
        <w:t xml:space="preserve">.</w:t>
      </w:r>
    </w:p>
    <w:p>
      <w:pPr>
        <w:pStyle w:val="BodyText"/>
      </w:pPr>
      <w:r>
        <w:t xml:space="preserve">Our result is consistent with previous studies and gives better constraint to radio AGN luminosity and density evolution power-law indexes due to larger number of sources (6900) and wider covered sky fraction (92 deg</w:t>
      </w:r>
      <m:oMath>
        <m:sSup>
          <m:e>
            <m:r>
              <m:t/>
            </m:r>
          </m:e>
          <m:sup>
            <m:r>
              <m:t>2</m:t>
            </m:r>
          </m:sup>
        </m:sSup>
      </m:oMath>
      <w:r>
        <w:t xml:space="preserve">).</w:t>
      </w:r>
    </w:p>
    <w:p>
      <w:pPr>
        <w:pStyle w:val="BodyText"/>
      </w:pPr>
      <w:r>
        <w:t xml:space="preserve"/>
      </w:r>
    </w:p>
    <w:p>
      <w:pPr>
        <w:pStyle w:val="Heading2"/>
      </w:pPr>
      <w:bookmarkStart w:id="25" w:name="header-n53"/>
      <w:bookmarkEnd w:id="25"/>
      <w:r>
        <w:t xml:space="preserve">Notes</w:t>
      </w:r>
    </w:p>
    <w:p>
      <w:pPr>
        <w:numPr>
          <w:numId w:val="1002"/>
          <w:ilvl w:val="0"/>
        </w:numPr>
      </w:pPr>
      <w:r>
        <w:rPr>
          <w:b/>
        </w:rPr>
        <w:t xml:space="preserve">Photometric bias</w:t>
      </w:r>
      <w:r>
        <w:t xml:space="preserve">,</w:t>
      </w:r>
      <w:r>
        <w:t xml:space="preserve"> </w:t>
      </w:r>
      <m:oMath>
        <m:r>
          <m:t>δ</m:t>
        </m:r>
        <m:r>
          <m:t>=</m:t>
        </m:r>
        <m:sSub>
          <m:e>
            <m:r>
              <m:t>z</m:t>
            </m:r>
          </m:e>
          <m:sub>
            <m:r>
              <m:t>p</m:t>
            </m:r>
            <m:r>
              <m:t>h</m:t>
            </m:r>
            <m:r>
              <m:t>o</m:t>
            </m:r>
            <m:r>
              <m:t>t</m:t>
            </m:r>
          </m:sub>
        </m:sSub>
        <m:r>
          <m:t>−</m:t>
        </m:r>
        <m:sSub>
          <m:e>
            <m:r>
              <m:t>z</m:t>
            </m:r>
          </m:e>
          <m:sub>
            <m:r>
              <m:t>s</m:t>
            </m:r>
            <m:r>
              <m:t>p</m:t>
            </m:r>
            <m:r>
              <m:t>e</m:t>
            </m:r>
            <m:r>
              <m:t>c</m:t>
            </m:r>
          </m:sub>
        </m:sSub>
      </m:oMath>
      <w:r>
        <w:t xml:space="preserve">, where</w:t>
      </w:r>
      <w:r>
        <w:t xml:space="preserve"> </w:t>
      </w:r>
      <m:oMath>
        <m:sSub>
          <m:e>
            <m:r>
              <m:t>z</m:t>
            </m:r>
          </m:e>
          <m:sub>
            <m:r>
              <m:t>p</m:t>
            </m:r>
            <m:r>
              <m:t>h</m:t>
            </m:r>
            <m:r>
              <m:t>o</m:t>
            </m:r>
            <m:r>
              <m:t>t</m:t>
            </m:r>
          </m:sub>
        </m:sSub>
      </m:oMath>
      <w:r>
        <w:t xml:space="preserve"> </w:t>
      </w:r>
      <w:r>
        <w:t xml:space="preserve">and</w:t>
      </w:r>
      <w:r>
        <w:t xml:space="preserve"> </w:t>
      </w:r>
      <m:oMath>
        <m:sSub>
          <m:e>
            <m:r>
              <m:t>z</m:t>
            </m:r>
          </m:e>
          <m:sub>
            <m:r>
              <m:t>s</m:t>
            </m:r>
            <m:r>
              <m:t>p</m:t>
            </m:r>
            <m:r>
              <m:t>e</m:t>
            </m:r>
            <m:r>
              <m:t>c</m:t>
            </m:r>
          </m:sub>
        </m:sSub>
      </m:oMath>
      <w:r>
        <w:t xml:space="preserve"> </w:t>
      </w:r>
      <w:r>
        <w:t xml:space="preserve">are the photometric and spectroscopic redshift of the galaxy, respectively.</w:t>
      </w:r>
    </w:p>
    <w:p>
      <w:pPr>
        <w:numPr>
          <w:numId w:val="1002"/>
          <w:ilvl w:val="0"/>
        </w:numPr>
      </w:pPr>
      <w:r>
        <w:rPr>
          <w:b/>
        </w:rPr>
        <w:t xml:space="preserve">Photometric scatter</w:t>
      </w:r>
      <w:r>
        <w:t xml:space="preserve">,</w:t>
      </w:r>
      <w:r>
        <w:t xml:space="preserve"> </w:t>
      </w:r>
      <m:oMath>
        <m:r>
          <m:t>σ</m:t>
        </m:r>
      </m:oMath>
      <w:r>
        <w:t xml:space="preserve">, represents the standard deviation of</w:t>
      </w:r>
      <w:r>
        <w:t xml:space="preserve"> </w:t>
      </w:r>
      <m:oMath>
        <m:r>
          <m:t>δ</m:t>
        </m:r>
      </m:oMath>
      <w:r>
        <w:t xml:space="preserve"> </w:t>
      </w:r>
      <w:r>
        <w:t xml:space="preserve">for a collection of galaxies.</w:t>
      </w:r>
    </w:p>
    <w:p>
      <w:pPr>
        <w:numPr>
          <w:numId w:val="1002"/>
          <w:ilvl w:val="0"/>
        </w:numPr>
      </w:pPr>
      <w:r>
        <w:rPr>
          <w:b/>
        </w:rPr>
        <w:t xml:space="preserve">Outlier fraction</w:t>
      </w:r>
      <w:r>
        <w:t xml:space="preserve"> </w:t>
      </w:r>
      <w:r>
        <w:t xml:space="preserve">of the bias distribution,</w:t>
      </w:r>
      <w:r>
        <w:t xml:space="preserve"> </w:t>
      </w:r>
      <m:oMath>
        <m:r>
          <m:t>f</m:t>
        </m:r>
        <m:r>
          <m:t>(</m:t>
        </m:r>
        <m:r>
          <m:t>α</m:t>
        </m:r>
        <m:r>
          <m:t>σ</m:t>
        </m:r>
        <m:r>
          <m:t>)</m:t>
        </m:r>
      </m:oMath>
      <w:r>
        <w:t xml:space="preserve">, defined as the percentage of objects which have a bias larger than some factor,</w:t>
      </w:r>
      <w:r>
        <w:t xml:space="preserve"> </w:t>
      </w:r>
      <m:oMath>
        <m:r>
          <m:t>α</m:t>
        </m:r>
      </m:oMath>
      <w:r>
        <w:t xml:space="preserve">, of</w:t>
      </w:r>
      <w:r>
        <w:t xml:space="preserve"> </w:t>
      </w:r>
      <m:oMath>
        <m:r>
          <m:t>σ</m:t>
        </m:r>
      </m:oMath>
      <w:r>
        <w:t xml:space="preserve">.</w:t>
      </w:r>
    </w:p>
    <w:p>
      <w:pPr>
        <w:numPr>
          <w:numId w:val="1002"/>
          <w:ilvl w:val="0"/>
        </w:numPr>
      </w:pPr>
      <w:r>
        <w:t xml:space="preserve">The function to fit is Equation 1 in Smolcic et al (2017). Also, see Table 2 to compare the measured power-law indexes.</w:t>
      </w:r>
    </w:p>
    <w:p>
      <w:pPr>
        <w:pStyle w:val="FirstParagraph"/>
      </w:pPr>
      <w:r>
        <w:t xml:space="preserve"/>
      </w:r>
    </w:p>
    <w:p>
      <w:pPr>
        <w:pStyle w:val="Heading2"/>
      </w:pPr>
      <w:bookmarkStart w:id="26" w:name="header-n69"/>
      <w:bookmarkEnd w:id="26"/>
      <w:r>
        <w:t xml:space="preserve">References</w:t>
      </w:r>
    </w:p>
    <w:p>
      <w:pPr>
        <w:numPr>
          <w:numId w:val="1003"/>
          <w:ilvl w:val="0"/>
        </w:numPr>
      </w:pPr>
      <w:r>
        <w:t xml:space="preserve">Abbott, T. M. C., Abdalla, F. B., Allam, S., et al. 2018, ArXiv e-prints, arXiv:1801.03181</w:t>
      </w:r>
    </w:p>
    <w:p>
      <w:pPr>
        <w:numPr>
          <w:numId w:val="1003"/>
          <w:ilvl w:val="0"/>
        </w:numPr>
      </w:pPr>
      <w:r>
        <w:t xml:space="preserve">Hodge, J. A., Becker, R. H., White, R. L., Richards, G. T., Zeimann, G. R. 2011, AJ, 142, 1:3</w:t>
      </w:r>
    </w:p>
    <w:p>
      <w:pPr>
        <w:numPr>
          <w:numId w:val="1003"/>
          <w:ilvl w:val="0"/>
        </w:numPr>
      </w:pPr>
      <w:r>
        <w:t xml:space="preserve">Novak, M., Smolčić, V., Delhaize, J., et al. 2017, A&amp;A, 602, A5</w:t>
      </w:r>
    </w:p>
    <w:p>
      <w:pPr>
        <w:numPr>
          <w:numId w:val="1003"/>
          <w:ilvl w:val="0"/>
        </w:numPr>
      </w:pPr>
      <w:r>
        <w:t xml:space="preserve">Sadeh, I., Abdalla, F. B., Lahav, O., et al. 2016, PASP, 128, 968: 104502</w:t>
      </w:r>
    </w:p>
    <w:p>
      <w:pPr>
        <w:numPr>
          <w:numId w:val="1003"/>
          <w:ilvl w:val="0"/>
        </w:numPr>
      </w:pPr>
      <w:r>
        <w:t xml:space="preserve">Smolčić, V., Novak, M., Delvecchio, I., et al. 2017, A&amp;A, 602, A6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aac5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ad89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2018-07-30T06:36:41Z</dcterms:created>
  <dcterms:modified xsi:type="dcterms:W3CDTF">2018-07-30T06:36:41Z</dcterms:modified>
</cp:coreProperties>
</file>