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44579B" w14:textId="2376996C" w:rsidR="002724C5" w:rsidRPr="002724C5" w:rsidRDefault="008821B2" w:rsidP="002724C5">
      <w:pPr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 xml:space="preserve">Correlation of 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>ultraluminous</w:t>
      </w:r>
      <w:proofErr w:type="spellEnd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 xml:space="preserve"> x-ray s</w:t>
      </w:r>
      <w:r w:rsidR="006D69F4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 xml:space="preserve">ources (ULXs) </w:t>
      </w:r>
      <w:r w:rsidR="00F86F64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>and</w:t>
      </w: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 xml:space="preserve"> star formation r</w:t>
      </w:r>
      <w:r w:rsidR="006D69F4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 xml:space="preserve">ate (SFR) of their </w:t>
      </w: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>h</w:t>
      </w:r>
      <w:r w:rsidR="006D69F4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 xml:space="preserve">ost </w:t>
      </w: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>g</w:t>
      </w:r>
      <w:r w:rsidR="006D69F4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>alaxies</w:t>
      </w:r>
    </w:p>
    <w:p w14:paraId="57E18676" w14:textId="77777777" w:rsidR="002724C5" w:rsidRPr="002724C5" w:rsidRDefault="002724C5" w:rsidP="002724C5">
      <w:pPr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 w:rsidRPr="002724C5">
        <w:rPr>
          <w:rFonts w:ascii="MS Mincho" w:eastAsia="MS Mincho" w:hAnsi="MS Mincho" w:cs="MS Mincho"/>
          <w:color w:val="000000"/>
          <w:lang w:val="en-MY" w:eastAsia="en-MY"/>
        </w:rPr>
        <w:t xml:space="preserve">　</w:t>
      </w:r>
    </w:p>
    <w:p w14:paraId="01F03CB4" w14:textId="7BF04C74" w:rsidR="002724C5" w:rsidRPr="002724C5" w:rsidRDefault="006D69F4" w:rsidP="002724C5">
      <w:pPr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color w:val="000000"/>
          <w:u w:val="single"/>
          <w:lang w:val="en-MY" w:eastAsia="en-MY"/>
        </w:rPr>
        <w:t>S. A. Khairunnisa</w:t>
      </w:r>
      <w:r w:rsidR="003531C5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, H. </w:t>
      </w:r>
      <w:proofErr w:type="spellStart"/>
      <w:r w:rsidR="003531C5">
        <w:rPr>
          <w:rFonts w:ascii="-webkit-standard" w:eastAsia="Times New Roman" w:hAnsi="-webkit-standard" w:cs="Times New Roman"/>
          <w:color w:val="000000"/>
          <w:lang w:val="en-MY" w:eastAsia="en-MY"/>
        </w:rPr>
        <w:t>Wulandari</w:t>
      </w:r>
      <w:proofErr w:type="spellEnd"/>
      <w:r w:rsidR="003531C5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and </w:t>
      </w:r>
      <w:r w:rsidR="003531C5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I. G. P. M. </w:t>
      </w:r>
      <w:proofErr w:type="spellStart"/>
      <w:r w:rsidR="003531C5">
        <w:rPr>
          <w:rFonts w:ascii="-webkit-standard" w:eastAsia="Times New Roman" w:hAnsi="-webkit-standard" w:cs="Times New Roman"/>
          <w:color w:val="000000"/>
          <w:lang w:val="en-MY" w:eastAsia="en-MY"/>
        </w:rPr>
        <w:t>Priajana</w:t>
      </w:r>
      <w:proofErr w:type="spellEnd"/>
    </w:p>
    <w:p w14:paraId="571DC940" w14:textId="61D0BAA6" w:rsidR="00D71CBA" w:rsidRPr="00B50F3D" w:rsidRDefault="002724C5" w:rsidP="00D71CBA">
      <w:pPr>
        <w:spacing w:before="100" w:beforeAutospacing="1" w:after="100" w:afterAutospacing="1"/>
        <w:jc w:val="center"/>
        <w:rPr>
          <w:rFonts w:ascii="MS Mincho" w:eastAsia="MS Mincho" w:hAnsi="MS Mincho" w:cs="MS Mincho"/>
          <w:color w:val="000000" w:themeColor="text1"/>
          <w:lang w:val="en-MY" w:eastAsia="en-MY"/>
        </w:rPr>
      </w:pPr>
      <w:r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 </w:t>
      </w:r>
      <w:r w:rsidR="006D69F4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Astronomy Research Division, Faculty of Mathematics and Natural Sciences, </w:t>
      </w:r>
      <w:proofErr w:type="spellStart"/>
      <w:r w:rsidR="006D69F4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Institut</w:t>
      </w:r>
      <w:proofErr w:type="spellEnd"/>
      <w:r w:rsidR="006D69F4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</w:t>
      </w:r>
      <w:proofErr w:type="spellStart"/>
      <w:r w:rsidR="006D69F4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Teknologi</w:t>
      </w:r>
      <w:proofErr w:type="spellEnd"/>
      <w:r w:rsidR="006D69F4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Bandung, </w:t>
      </w:r>
      <w:r w:rsidR="007E33F3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Jl. </w:t>
      </w:r>
      <w:proofErr w:type="spellStart"/>
      <w:r w:rsidR="007E33F3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Ganesha</w:t>
      </w:r>
      <w:proofErr w:type="spellEnd"/>
      <w:r w:rsidR="007E33F3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10, </w:t>
      </w:r>
      <w:r w:rsidR="006D69F4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Bandung 40132</w:t>
      </w:r>
      <w:r w:rsidRPr="00B50F3D">
        <w:rPr>
          <w:rFonts w:ascii="MS Mincho" w:eastAsia="MS Mincho" w:hAnsi="MS Mincho" w:cs="MS Mincho"/>
          <w:color w:val="000000" w:themeColor="text1"/>
          <w:lang w:val="en-MY" w:eastAsia="en-MY"/>
        </w:rPr>
        <w:t xml:space="preserve">　</w:t>
      </w:r>
    </w:p>
    <w:p w14:paraId="06C086DE" w14:textId="77777777" w:rsidR="00D71CBA" w:rsidRPr="00B50F3D" w:rsidRDefault="00D71CBA" w:rsidP="00D71CBA">
      <w:pPr>
        <w:spacing w:before="100" w:beforeAutospacing="1" w:after="100" w:afterAutospacing="1"/>
        <w:jc w:val="center"/>
        <w:rPr>
          <w:rFonts w:ascii="MS Mincho" w:eastAsia="MS Mincho" w:hAnsi="MS Mincho" w:cs="MS Mincho"/>
          <w:color w:val="000000" w:themeColor="text1"/>
          <w:lang w:val="en-MY" w:eastAsia="en-MY"/>
        </w:rPr>
      </w:pPr>
    </w:p>
    <w:p w14:paraId="03DF393F" w14:textId="77777777" w:rsidR="002724C5" w:rsidRPr="00B50F3D" w:rsidRDefault="002724C5" w:rsidP="002724C5">
      <w:pPr>
        <w:spacing w:before="100" w:beforeAutospacing="1" w:after="100" w:afterAutospacing="1"/>
        <w:jc w:val="center"/>
        <w:rPr>
          <w:rFonts w:ascii="-webkit-standard" w:eastAsia="Times New Roman" w:hAnsi="-webkit-standard" w:cs="Times New Roman"/>
          <w:color w:val="000000" w:themeColor="text1"/>
          <w:lang w:val="en-MY" w:eastAsia="en-MY"/>
        </w:rPr>
      </w:pPr>
      <w:r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ABSTRACT</w:t>
      </w:r>
    </w:p>
    <w:p w14:paraId="5FF6907F" w14:textId="42481E78" w:rsidR="00C53D48" w:rsidRPr="00B50F3D" w:rsidRDefault="00CC42B2" w:rsidP="0040698E">
      <w:pPr>
        <w:spacing w:before="100" w:beforeAutospacing="1" w:after="100" w:afterAutospacing="1"/>
        <w:ind w:firstLine="150"/>
        <w:jc w:val="both"/>
        <w:rPr>
          <w:rFonts w:ascii="-webkit-standard" w:eastAsia="Times New Roman" w:hAnsi="-webkit-standard" w:cs="Times New Roman"/>
          <w:color w:val="000000" w:themeColor="text1"/>
          <w:lang w:val="en-MY" w:eastAsia="en-MY"/>
        </w:rPr>
      </w:pPr>
      <w:proofErr w:type="spellStart"/>
      <w:r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Ultraluminous</w:t>
      </w:r>
      <w:proofErr w:type="spellEnd"/>
      <w:r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</w:t>
      </w:r>
      <w:r w:rsidR="008821B2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X-ray s</w:t>
      </w:r>
      <w:r w:rsidR="00391A2B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ources (ULXs) are extragalactic point-source objects located </w:t>
      </w:r>
      <w:r w:rsidR="00391A2B" w:rsidRPr="00B50F3D">
        <w:rPr>
          <w:rFonts w:ascii="-webkit-standard" w:eastAsia="Times New Roman" w:hAnsi="-webkit-standard" w:cs="Times New Roman" w:hint="eastAsia"/>
          <w:color w:val="000000" w:themeColor="text1"/>
          <w:lang w:val="en-MY" w:eastAsia="en-MY"/>
        </w:rPr>
        <w:t>outside</w:t>
      </w:r>
      <w:r w:rsidR="00391A2B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</w:t>
      </w:r>
      <w:r w:rsidR="002F5B3C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the nuclear region</w:t>
      </w:r>
      <w:r w:rsidR="008821B2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of </w:t>
      </w:r>
      <w:r w:rsidR="002F5B3C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a galaxy</w:t>
      </w:r>
      <w:r w:rsidR="008821B2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with apparent </w:t>
      </w:r>
      <w:r w:rsidR="00A518AE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X-ray luminosities L</w:t>
      </w:r>
      <w:r w:rsidR="00A518AE" w:rsidRPr="00B50F3D">
        <w:rPr>
          <w:rFonts w:ascii="-webkit-standard" w:eastAsia="Times New Roman" w:hAnsi="-webkit-standard" w:cs="Times New Roman"/>
          <w:color w:val="000000" w:themeColor="text1"/>
          <w:vertAlign w:val="subscript"/>
          <w:lang w:val="en-MY" w:eastAsia="en-MY"/>
        </w:rPr>
        <w:t>x</w:t>
      </w:r>
      <w:r w:rsidR="00A518AE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&gt; 2x10</w:t>
      </w:r>
      <w:r w:rsidR="00A518AE" w:rsidRPr="00B50F3D">
        <w:rPr>
          <w:rFonts w:ascii="-webkit-standard" w:eastAsia="Times New Roman" w:hAnsi="-webkit-standard" w:cs="Times New Roman"/>
          <w:color w:val="000000" w:themeColor="text1"/>
          <w:vertAlign w:val="superscript"/>
          <w:lang w:val="en-MY" w:eastAsia="en-MY"/>
        </w:rPr>
        <w:t>39</w:t>
      </w:r>
      <w:r w:rsidR="00A518AE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</w:t>
      </w:r>
      <w:r w:rsidR="002F5B3C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erg s</w:t>
      </w:r>
      <w:r w:rsidR="002F5B3C" w:rsidRPr="00B50F3D">
        <w:rPr>
          <w:rFonts w:ascii="-webkit-standard" w:eastAsia="Times New Roman" w:hAnsi="-webkit-standard" w:cs="Times New Roman"/>
          <w:color w:val="000000" w:themeColor="text1"/>
          <w:vertAlign w:val="superscript"/>
          <w:lang w:val="en-MY" w:eastAsia="en-MY"/>
        </w:rPr>
        <w:t>-</w:t>
      </w:r>
      <w:r w:rsidR="00A518AE" w:rsidRPr="00B50F3D">
        <w:rPr>
          <w:rFonts w:ascii="-webkit-standard" w:eastAsia="Times New Roman" w:hAnsi="-webkit-standard" w:cs="Times New Roman"/>
          <w:color w:val="000000" w:themeColor="text1"/>
          <w:vertAlign w:val="superscript"/>
          <w:lang w:val="en-MY" w:eastAsia="en-MY"/>
        </w:rPr>
        <w:t>1</w:t>
      </w:r>
      <w:r w:rsidR="00A518AE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</w:t>
      </w:r>
      <w:r w:rsidR="002F5B3C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in </w:t>
      </w:r>
      <w:r w:rsidR="008E64ED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the 0.3-8 </w:t>
      </w:r>
      <w:proofErr w:type="spellStart"/>
      <w:r w:rsidR="008E64ED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keV</w:t>
      </w:r>
      <w:proofErr w:type="spellEnd"/>
      <w:r w:rsidR="008E64ED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band</w:t>
      </w:r>
      <w:r w:rsidR="002F5B3C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.</w:t>
      </w:r>
      <w:r w:rsidR="00136EC6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</w:t>
      </w:r>
      <w:r w:rsidR="001916F9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We constructed a sample set of ULX candidates that </w:t>
      </w:r>
      <w:r w:rsidR="00F23D6F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have been</w:t>
      </w:r>
      <w:r w:rsidR="001916F9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</w:t>
      </w:r>
      <w:r w:rsidR="00F23D6F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selected</w:t>
      </w:r>
      <w:r w:rsidR="009E3A04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and combined</w:t>
      </w:r>
      <w:r w:rsidR="00F23D6F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</w:t>
      </w:r>
      <w:r w:rsidR="001916F9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from</w:t>
      </w:r>
      <w:r w:rsidR="00D34C71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Liu (2011) and Walton et al. (2011)</w:t>
      </w:r>
      <w:r w:rsidR="00F23D6F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. We </w:t>
      </w:r>
      <w:r w:rsidR="001916F9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found </w:t>
      </w:r>
      <w:r w:rsidR="00F23D6F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that there are </w:t>
      </w:r>
      <w:r w:rsidR="001916F9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546 ULXs candidates in </w:t>
      </w:r>
      <w:r w:rsidR="00F23D6F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233 host galaxies that lies wit</w:t>
      </w:r>
      <w:r w:rsidR="001916F9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hin a distance of 40 </w:t>
      </w:r>
      <w:proofErr w:type="spellStart"/>
      <w:r w:rsidR="001916F9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Mpc</w:t>
      </w:r>
      <w:proofErr w:type="spellEnd"/>
      <w:r w:rsidR="001916F9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. </w:t>
      </w:r>
      <w:r w:rsidR="00F23D6F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To g</w:t>
      </w:r>
      <w:r w:rsidR="009E3A04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et a better understanding of their</w:t>
      </w:r>
      <w:r w:rsidR="00F23D6F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nature, we aim</w:t>
      </w:r>
      <w:r w:rsidR="009E3A04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ed at</w:t>
      </w:r>
      <w:r w:rsidR="00F23D6F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study</w:t>
      </w:r>
      <w:r w:rsidR="009E3A04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ing</w:t>
      </w:r>
      <w:r w:rsidR="00F23D6F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the correlation between</w:t>
      </w:r>
      <w:r w:rsidR="009E3A04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the</w:t>
      </w:r>
      <w:r w:rsidR="00F23D6F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ULXs and properties of their host galaxies, especially their Star Formation Rate</w:t>
      </w:r>
      <w:r w:rsidR="009E3A04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s</w:t>
      </w:r>
      <w:r w:rsidR="00F23D6F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(SFR</w:t>
      </w:r>
      <w:r w:rsidR="009E3A04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s</w:t>
      </w:r>
      <w:r w:rsidR="00F23D6F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). </w:t>
      </w:r>
      <w:r w:rsidR="003D128D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We have collected the required data from various catalog</w:t>
      </w:r>
      <w:r w:rsidR="009E3A04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ue</w:t>
      </w:r>
      <w:r w:rsidR="003D128D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s</w:t>
      </w:r>
      <w:r w:rsidR="00EB0D55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to </w:t>
      </w:r>
      <w:r w:rsidR="00094679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calculate</w:t>
      </w:r>
      <w:r w:rsidR="00EB0D55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SFR based on </w:t>
      </w:r>
      <w:r w:rsidR="00EB0D55" w:rsidRPr="00B50F3D">
        <w:rPr>
          <w:rFonts w:ascii="-webkit-standard" w:eastAsia="Times New Roman" w:hAnsi="-webkit-standard" w:cs="Times New Roman" w:hint="eastAsia"/>
          <w:color w:val="000000" w:themeColor="text1"/>
          <w:lang w:val="en-MY" w:eastAsia="en-MY"/>
        </w:rPr>
        <w:t>hydrogen</w:t>
      </w:r>
      <w:r w:rsidR="00EB0D55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recombination line (H</w:t>
      </w:r>
      <m:oMath>
        <m:r>
          <w:rPr>
            <w:rFonts w:ascii="Cambria Math" w:eastAsia="Times New Roman" w:hAnsi="Cambria Math" w:cs="Times New Roman"/>
            <w:color w:val="000000" w:themeColor="text1"/>
            <w:lang w:val="en-MY" w:eastAsia="en-MY"/>
          </w:rPr>
          <m:t>α</m:t>
        </m:r>
      </m:oMath>
      <w:r w:rsidR="00EB0D55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) and total infrared (TIR) by following the method described in </w:t>
      </w:r>
      <w:proofErr w:type="spellStart"/>
      <w:r w:rsidR="00EB0D55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Kennicutt</w:t>
      </w:r>
      <w:proofErr w:type="spellEnd"/>
      <w:r w:rsidR="00EB0D55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&amp; Evans (2012). </w:t>
      </w:r>
      <w:r w:rsidR="00AE72B7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Furth</w:t>
      </w:r>
      <w:r w:rsidR="009E3A04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er analysis was focused on ULX </w:t>
      </w:r>
      <w:r w:rsidR="00AE72B7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candidates</w:t>
      </w:r>
      <w:r w:rsidR="009E3A04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located inside </w:t>
      </w:r>
      <w:proofErr w:type="spellStart"/>
      <w:r w:rsidR="009E3A04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isophotal</w:t>
      </w:r>
      <w:proofErr w:type="spellEnd"/>
      <w:r w:rsidR="009E3A04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radii</w:t>
      </w:r>
      <w:r w:rsidR="00AE72B7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(R</w:t>
      </w:r>
      <w:r w:rsidR="00AE72B7" w:rsidRPr="00B50F3D">
        <w:rPr>
          <w:rFonts w:ascii="-webkit-standard" w:eastAsia="Times New Roman" w:hAnsi="-webkit-standard" w:cs="Times New Roman"/>
          <w:color w:val="000000" w:themeColor="text1"/>
          <w:vertAlign w:val="subscript"/>
          <w:lang w:val="en-MY" w:eastAsia="en-MY"/>
        </w:rPr>
        <w:t>25</w:t>
      </w:r>
      <w:r w:rsidR="00AE72B7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) of their host galaxies by utilizing inclination</w:t>
      </w:r>
      <w:r w:rsidR="009E3A04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s</w:t>
      </w:r>
      <w:r w:rsidR="00AE72B7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and position angle-corrected distance</w:t>
      </w:r>
      <w:r w:rsidR="009E3A04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s</w:t>
      </w:r>
      <w:r w:rsidR="00AE72B7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from the galactic </w:t>
      </w:r>
      <w:proofErr w:type="spellStart"/>
      <w:r w:rsidR="00AE72B7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center</w:t>
      </w:r>
      <w:r w:rsidR="009E3A04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s</w:t>
      </w:r>
      <w:proofErr w:type="spellEnd"/>
      <w:r w:rsidR="00AE72B7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.</w:t>
      </w:r>
      <w:r w:rsidR="0040698E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We found that interacting and starburst galaxies could trigger ULXs formation, but not a mandatory requirement. From negative </w:t>
      </w:r>
      <w:r w:rsidR="0040698E" w:rsidRPr="00B50F3D">
        <w:rPr>
          <w:rFonts w:ascii="-webkit-standard" w:eastAsia="Times New Roman" w:hAnsi="-webkit-standard" w:cs="Times New Roman" w:hint="eastAsia"/>
          <w:color w:val="000000" w:themeColor="text1"/>
          <w:lang w:val="en-MY" w:eastAsia="en-MY"/>
        </w:rPr>
        <w:t xml:space="preserve">trends showed by specific luminosity, ULXs, and SFR distribution, </w:t>
      </w:r>
      <w:r w:rsidR="0040698E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we also found that ULXs are more likely to</w:t>
      </w:r>
      <w:r w:rsidR="009E3A04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 xml:space="preserve"> resides i</w:t>
      </w:r>
      <w:r w:rsidR="0040698E" w:rsidRPr="00B50F3D">
        <w:rPr>
          <w:rFonts w:ascii="-webkit-standard" w:eastAsia="Times New Roman" w:hAnsi="-webkit-standard" w:cs="Times New Roman"/>
          <w:color w:val="000000" w:themeColor="text1"/>
          <w:lang w:val="en-MY" w:eastAsia="en-MY"/>
        </w:rPr>
        <w:t>n the low-mass galaxies.</w:t>
      </w:r>
      <w:r w:rsidR="0040698E" w:rsidRPr="00B50F3D">
        <w:rPr>
          <w:rFonts w:ascii="-webkit-standard" w:eastAsia="Times New Roman" w:hAnsi="-webkit-standard" w:cs="Times New Roman" w:hint="eastAsia"/>
          <w:color w:val="000000" w:themeColor="text1"/>
          <w:lang w:val="en-MY" w:eastAsia="en-MY"/>
        </w:rPr>
        <w:t xml:space="preserve"> </w:t>
      </w:r>
    </w:p>
    <w:p w14:paraId="1A499149" w14:textId="16179027" w:rsidR="002724C5" w:rsidRPr="002724C5" w:rsidRDefault="002724C5" w:rsidP="002724C5">
      <w:pPr>
        <w:spacing w:before="100" w:beforeAutospacing="1" w:after="100" w:afterAutospacing="1"/>
        <w:jc w:val="both"/>
        <w:rPr>
          <w:rFonts w:ascii="-webkit-standard" w:eastAsia="Times New Roman" w:hAnsi="-webkit-standard" w:cs="Times New Roman"/>
          <w:i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 xml:space="preserve">Keywords: </w:t>
      </w:r>
      <w:r w:rsidR="00E6554D"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>G</w:t>
      </w:r>
      <w:r w:rsidR="00930DA2"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>alaxies; Star Formation; X-ray Binaries</w:t>
      </w:r>
      <w:bookmarkStart w:id="0" w:name="_GoBack"/>
      <w:bookmarkEnd w:id="0"/>
    </w:p>
    <w:p w14:paraId="13576B86" w14:textId="77777777" w:rsidR="002724C5" w:rsidRPr="002724C5" w:rsidRDefault="002724C5" w:rsidP="002724C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val="en-MY" w:eastAsia="en-MY"/>
        </w:rPr>
      </w:pP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>References</w:t>
      </w:r>
    </w:p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"/>
        <w:gridCol w:w="8409"/>
      </w:tblGrid>
      <w:tr w:rsidR="00D71CBA" w:rsidRPr="002724C5" w14:paraId="33DCF05C" w14:textId="77777777" w:rsidTr="00D71CBA">
        <w:tc>
          <w:tcPr>
            <w:tcW w:w="517" w:type="dxa"/>
            <w:hideMark/>
          </w:tcPr>
          <w:p w14:paraId="4679D09F" w14:textId="2DBF099F" w:rsidR="002724C5" w:rsidRPr="0040698E" w:rsidRDefault="00A518AE" w:rsidP="0040698E">
            <w:pPr>
              <w:rPr>
                <w:rFonts w:ascii="-webkit-standard" w:eastAsia="Times New Roman" w:hAnsi="-webkit-standard" w:cs="Times New Roman"/>
                <w:lang w:val="en-MY" w:eastAsia="en-MY"/>
              </w:rPr>
            </w:pPr>
            <w:r>
              <w:rPr>
                <w:rFonts w:ascii="-webkit-standard" w:eastAsia="Times New Roman" w:hAnsi="-webkit-standard" w:cs="Times New Roman"/>
                <w:lang w:val="en-MY" w:eastAsia="en-MY"/>
              </w:rPr>
              <w:t xml:space="preserve">[1] </w:t>
            </w:r>
          </w:p>
        </w:tc>
        <w:tc>
          <w:tcPr>
            <w:tcW w:w="8409" w:type="dxa"/>
            <w:hideMark/>
          </w:tcPr>
          <w:p w14:paraId="62CED562" w14:textId="6EA22E37" w:rsidR="002724C5" w:rsidRPr="002724C5" w:rsidRDefault="00D71CBA" w:rsidP="00D71CBA">
            <w:pPr>
              <w:rPr>
                <w:rFonts w:ascii="-webkit-standard" w:eastAsia="Times New Roman" w:hAnsi="-webkit-standard" w:cs="Times New Roman"/>
                <w:lang w:val="en-MY" w:eastAsia="en-MY"/>
              </w:rPr>
            </w:pPr>
            <w:r>
              <w:rPr>
                <w:rFonts w:ascii="Times New Roman" w:eastAsia="Times New Roman" w:hAnsi="Times New Roman" w:cs="Times New Roman"/>
                <w:lang w:eastAsia="en-MY"/>
              </w:rPr>
              <w:t xml:space="preserve">R. C.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MY"/>
              </w:rPr>
              <w:t>Kennicutt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MY"/>
              </w:rPr>
              <w:t xml:space="preserve"> Jr., N. J. Evans</w:t>
            </w:r>
            <w:r w:rsidRPr="002724C5">
              <w:rPr>
                <w:rFonts w:ascii="Times New Roman" w:eastAsia="Times New Roman" w:hAnsi="Times New Roman" w:cs="Times New Roman"/>
                <w:lang w:eastAsia="en-MY"/>
              </w:rPr>
              <w:t>, 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en-MY"/>
              </w:rPr>
              <w:t>ARA&amp;A</w:t>
            </w:r>
            <w:r w:rsidRPr="002724C5">
              <w:rPr>
                <w:rFonts w:ascii="Times New Roman" w:eastAsia="Times New Roman" w:hAnsi="Times New Roman" w:cs="Times New Roman"/>
                <w:lang w:eastAsia="en-MY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MY"/>
              </w:rPr>
              <w:t>50</w:t>
            </w:r>
            <w:r>
              <w:rPr>
                <w:rFonts w:ascii="Times New Roman" w:eastAsia="Times New Roman" w:hAnsi="Times New Roman" w:cs="Times New Roman"/>
                <w:lang w:eastAsia="en-MY"/>
              </w:rPr>
              <w:t> (2012) 531</w:t>
            </w:r>
          </w:p>
        </w:tc>
      </w:tr>
      <w:tr w:rsidR="00D71CBA" w:rsidRPr="002724C5" w14:paraId="7C55D7D3" w14:textId="77777777" w:rsidTr="00D71CBA">
        <w:tc>
          <w:tcPr>
            <w:tcW w:w="517" w:type="dxa"/>
            <w:hideMark/>
          </w:tcPr>
          <w:p w14:paraId="3DFDD882" w14:textId="77777777" w:rsidR="002724C5" w:rsidRPr="002724C5" w:rsidRDefault="002724C5" w:rsidP="002724C5">
            <w:pPr>
              <w:rPr>
                <w:rFonts w:ascii="-webkit-standard" w:eastAsia="Times New Roman" w:hAnsi="-webkit-standard" w:cs="Times New Roman"/>
                <w:lang w:val="en-MY" w:eastAsia="en-MY"/>
              </w:rPr>
            </w:pPr>
            <w:r w:rsidRPr="002724C5">
              <w:rPr>
                <w:rFonts w:ascii="-webkit-standard" w:eastAsia="Times New Roman" w:hAnsi="-webkit-standard" w:cs="Times New Roman"/>
                <w:lang w:val="en-MY" w:eastAsia="en-MY"/>
              </w:rPr>
              <w:t>[2]</w:t>
            </w:r>
          </w:p>
        </w:tc>
        <w:tc>
          <w:tcPr>
            <w:tcW w:w="8409" w:type="dxa"/>
            <w:hideMark/>
          </w:tcPr>
          <w:p w14:paraId="4E67B9F5" w14:textId="5ED3EB91" w:rsidR="0040698E" w:rsidRPr="009B4041" w:rsidRDefault="00D71CBA" w:rsidP="002724C5">
            <w:pPr>
              <w:rPr>
                <w:rFonts w:ascii="Times New Roman" w:eastAsia="Times New Roman" w:hAnsi="Times New Roman" w:cs="Times New Roman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lang w:eastAsia="en-MY"/>
              </w:rPr>
              <w:t xml:space="preserve">J. Liu,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lang w:eastAsia="en-MY"/>
              </w:rPr>
              <w:t>ApJS</w:t>
            </w:r>
            <w:proofErr w:type="spellEnd"/>
            <w:r w:rsidRPr="002724C5">
              <w:rPr>
                <w:rFonts w:ascii="Times New Roman" w:eastAsia="Times New Roman" w:hAnsi="Times New Roman" w:cs="Times New Roman"/>
                <w:lang w:eastAsia="en-MY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MY"/>
              </w:rPr>
              <w:t>192</w:t>
            </w:r>
            <w:r w:rsidRPr="002724C5">
              <w:rPr>
                <w:rFonts w:ascii="Times New Roman" w:eastAsia="Times New Roman" w:hAnsi="Times New Roman" w:cs="Times New Roman"/>
                <w:b/>
                <w:bCs/>
                <w:lang w:eastAsia="en-MY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en-MY"/>
              </w:rPr>
              <w:t>(2011) 1</w:t>
            </w:r>
            <w:r w:rsidRPr="002724C5">
              <w:rPr>
                <w:rFonts w:ascii="Times New Roman" w:eastAsia="Times New Roman" w:hAnsi="Times New Roman" w:cs="Times New Roman"/>
                <w:lang w:eastAsia="en-MY"/>
              </w:rPr>
              <w:t>0</w:t>
            </w:r>
          </w:p>
        </w:tc>
      </w:tr>
      <w:tr w:rsidR="00D71CBA" w:rsidRPr="002724C5" w14:paraId="77ECCFF9" w14:textId="77777777" w:rsidTr="00D71CBA">
        <w:tc>
          <w:tcPr>
            <w:tcW w:w="517" w:type="dxa"/>
          </w:tcPr>
          <w:p w14:paraId="0A5A61C5" w14:textId="648FEACF" w:rsidR="009B4041" w:rsidRPr="002724C5" w:rsidRDefault="009B4041" w:rsidP="002724C5">
            <w:pPr>
              <w:rPr>
                <w:rFonts w:ascii="-webkit-standard" w:eastAsia="Times New Roman" w:hAnsi="-webkit-standard" w:cs="Times New Roman"/>
                <w:lang w:val="en-MY" w:eastAsia="en-MY"/>
              </w:rPr>
            </w:pPr>
            <w:r>
              <w:rPr>
                <w:rFonts w:ascii="-webkit-standard" w:eastAsia="Times New Roman" w:hAnsi="-webkit-standard" w:cs="Times New Roman"/>
                <w:lang w:val="en-MY" w:eastAsia="en-MY"/>
              </w:rPr>
              <w:t>[3]</w:t>
            </w:r>
          </w:p>
        </w:tc>
        <w:tc>
          <w:tcPr>
            <w:tcW w:w="8409" w:type="dxa"/>
          </w:tcPr>
          <w:p w14:paraId="48657957" w14:textId="3F3BF918" w:rsidR="009B4041" w:rsidRPr="0026403A" w:rsidRDefault="0026403A" w:rsidP="002724C5">
            <w:pPr>
              <w:rPr>
                <w:rFonts w:ascii="Times New Roman" w:eastAsia="Times New Roman" w:hAnsi="Times New Roman" w:cs="Times New Roman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lang w:eastAsia="en-MY"/>
              </w:rPr>
              <w:t xml:space="preserve">D. J. </w:t>
            </w:r>
            <w:r w:rsidR="009B4041">
              <w:rPr>
                <w:rFonts w:ascii="Times New Roman" w:eastAsia="Times New Roman" w:hAnsi="Times New Roman" w:cs="Times New Roman"/>
                <w:lang w:eastAsia="en-MY"/>
              </w:rPr>
              <w:t>Walton</w:t>
            </w:r>
            <w:r>
              <w:rPr>
                <w:rFonts w:ascii="Times New Roman" w:eastAsia="Times New Roman" w:hAnsi="Times New Roman" w:cs="Times New Roman"/>
                <w:lang w:eastAsia="en-MY"/>
              </w:rPr>
              <w:t xml:space="preserve">, T. P. Roberts, S.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MY"/>
              </w:rPr>
              <w:t>Mateos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MY"/>
              </w:rPr>
              <w:t xml:space="preserve">, V. Heard, </w:t>
            </w:r>
            <w:r>
              <w:rPr>
                <w:rFonts w:ascii="Times New Roman" w:eastAsia="Times New Roman" w:hAnsi="Times New Roman" w:cs="Times New Roman"/>
                <w:i/>
                <w:lang w:eastAsia="en-MY"/>
              </w:rPr>
              <w:t xml:space="preserve">MNRAS </w:t>
            </w:r>
            <w:r>
              <w:rPr>
                <w:rFonts w:ascii="Times New Roman" w:eastAsia="Times New Roman" w:hAnsi="Times New Roman" w:cs="Times New Roman"/>
                <w:b/>
                <w:lang w:eastAsia="en-MY"/>
              </w:rPr>
              <w:t>416</w:t>
            </w:r>
            <w:r>
              <w:rPr>
                <w:rFonts w:ascii="Times New Roman" w:eastAsia="Times New Roman" w:hAnsi="Times New Roman" w:cs="Times New Roman"/>
                <w:lang w:eastAsia="en-MY"/>
              </w:rPr>
              <w:t xml:space="preserve"> (2011) 1844</w:t>
            </w:r>
          </w:p>
        </w:tc>
      </w:tr>
    </w:tbl>
    <w:p w14:paraId="0445A21B" w14:textId="65B0BB42" w:rsidR="00086138" w:rsidRPr="009B4041" w:rsidRDefault="00086138">
      <w:pPr>
        <w:rPr>
          <w:i/>
        </w:rPr>
      </w:pPr>
    </w:p>
    <w:sectPr w:rsidR="00086138" w:rsidRPr="009B4041" w:rsidSect="00E46D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C5"/>
    <w:rsid w:val="00044F02"/>
    <w:rsid w:val="00086138"/>
    <w:rsid w:val="00094679"/>
    <w:rsid w:val="0012645E"/>
    <w:rsid w:val="00136EC6"/>
    <w:rsid w:val="0016733E"/>
    <w:rsid w:val="001916F9"/>
    <w:rsid w:val="001D4984"/>
    <w:rsid w:val="0024191D"/>
    <w:rsid w:val="0026403A"/>
    <w:rsid w:val="002724C5"/>
    <w:rsid w:val="002F5B3C"/>
    <w:rsid w:val="003531C5"/>
    <w:rsid w:val="00391A2B"/>
    <w:rsid w:val="003D128D"/>
    <w:rsid w:val="003F7936"/>
    <w:rsid w:val="0040698E"/>
    <w:rsid w:val="005D34E3"/>
    <w:rsid w:val="005D6357"/>
    <w:rsid w:val="006D69F4"/>
    <w:rsid w:val="00726A0F"/>
    <w:rsid w:val="007E33F3"/>
    <w:rsid w:val="007F28B6"/>
    <w:rsid w:val="008821B2"/>
    <w:rsid w:val="008E64ED"/>
    <w:rsid w:val="008F7925"/>
    <w:rsid w:val="00930DA2"/>
    <w:rsid w:val="009B4041"/>
    <w:rsid w:val="009E3A04"/>
    <w:rsid w:val="00A518AE"/>
    <w:rsid w:val="00A60AE4"/>
    <w:rsid w:val="00AE72B7"/>
    <w:rsid w:val="00B50F3D"/>
    <w:rsid w:val="00BA39DF"/>
    <w:rsid w:val="00BD2505"/>
    <w:rsid w:val="00C53D48"/>
    <w:rsid w:val="00CC42B2"/>
    <w:rsid w:val="00CD528A"/>
    <w:rsid w:val="00CF2D6A"/>
    <w:rsid w:val="00D34C71"/>
    <w:rsid w:val="00D71CBA"/>
    <w:rsid w:val="00E11BB8"/>
    <w:rsid w:val="00E208A3"/>
    <w:rsid w:val="00E46DB4"/>
    <w:rsid w:val="00E6554D"/>
    <w:rsid w:val="00E950C5"/>
    <w:rsid w:val="00EA79A3"/>
    <w:rsid w:val="00EB0D55"/>
    <w:rsid w:val="00F23D6F"/>
    <w:rsid w:val="00F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7889"/>
  <w15:chartTrackingRefBased/>
  <w15:docId w15:val="{51509402-B55A-AA44-8EA3-8F53F9B7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24C5"/>
  </w:style>
  <w:style w:type="paragraph" w:styleId="NormalWeb">
    <w:name w:val="Normal (Web)"/>
    <w:basedOn w:val="Normal"/>
    <w:uiPriority w:val="99"/>
    <w:semiHidden/>
    <w:unhideWhenUsed/>
    <w:rsid w:val="00272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en-MY"/>
    </w:rPr>
  </w:style>
  <w:style w:type="character" w:styleId="PlaceholderText">
    <w:name w:val="Placeholder Text"/>
    <w:basedOn w:val="DefaultParagraphFont"/>
    <w:uiPriority w:val="99"/>
    <w:semiHidden/>
    <w:rsid w:val="00EB0D55"/>
    <w:rPr>
      <w:color w:val="808080"/>
    </w:rPr>
  </w:style>
  <w:style w:type="table" w:styleId="TableGrid">
    <w:name w:val="Table Grid"/>
    <w:basedOn w:val="TableNormal"/>
    <w:uiPriority w:val="39"/>
    <w:rsid w:val="009B40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248A017-F946-CC49-BCB7-302EA1C96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272</Words>
  <Characters>1555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Sitti Attari Khairunnisa</cp:lastModifiedBy>
  <cp:revision>5</cp:revision>
  <dcterms:created xsi:type="dcterms:W3CDTF">2018-08-06T06:28:00Z</dcterms:created>
  <dcterms:modified xsi:type="dcterms:W3CDTF">2018-08-06T16:53:00Z</dcterms:modified>
</cp:coreProperties>
</file>