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27" w:rsidRPr="00C56AD0" w:rsidRDefault="00857A27" w:rsidP="002724C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</w:pPr>
      <w:r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>Photoionization Model</w:t>
      </w:r>
      <w:r w:rsidR="005F1469"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>ling</w:t>
      </w:r>
      <w:r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 xml:space="preserve"> of </w:t>
      </w:r>
      <w:r w:rsidR="005F1469"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>the Wolf-Rayet Planetary Nebulae</w:t>
      </w:r>
      <w:bookmarkStart w:id="0" w:name="_GoBack"/>
      <w:bookmarkEnd w:id="0"/>
      <w:r w:rsidR="005F1469"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 xml:space="preserve"> IC 4663</w:t>
      </w:r>
      <w:r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 xml:space="preserve"> Based On </w:t>
      </w:r>
      <w:r w:rsidR="00EA14C9"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>Multi</w:t>
      </w:r>
      <w:r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>w</w:t>
      </w:r>
      <w:r w:rsidR="00EA14C9"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>avelength</w:t>
      </w:r>
      <w:r w:rsidRPr="00C56AD0"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  <w:t xml:space="preserve"> Observations</w:t>
      </w:r>
    </w:p>
    <w:p w:rsidR="002724C5" w:rsidRPr="00C56AD0" w:rsidRDefault="002724C5" w:rsidP="002724C5">
      <w:pPr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MS Mincho" w:hAnsi="Times New Roman" w:cs="Times New Roman"/>
          <w:color w:val="000000"/>
          <w:lang w:val="en-MY" w:eastAsia="en-MY"/>
        </w:rPr>
        <w:t xml:space="preserve">　</w:t>
      </w:r>
    </w:p>
    <w:p w:rsidR="002724C5" w:rsidRPr="00C56AD0" w:rsidRDefault="00EA14C9" w:rsidP="002724C5">
      <w:pPr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color w:val="000000"/>
          <w:u w:val="single"/>
          <w:lang w:val="en-MY" w:eastAsia="en-MY"/>
        </w:rPr>
        <w:t>E. Puspitaningrum</w:t>
      </w:r>
      <w:r w:rsidR="002724C5" w:rsidRPr="00C56AD0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1</w:t>
      </w: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 and H. L. Malasan</w:t>
      </w:r>
      <w:r w:rsidR="002724C5" w:rsidRPr="00C56AD0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2</w:t>
      </w:r>
    </w:p>
    <w:p w:rsidR="00EA14C9" w:rsidRPr="00C56AD0" w:rsidRDefault="002724C5" w:rsidP="002724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1</w:t>
      </w: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 </w:t>
      </w:r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Pascasarjana Program Studi Astronomi, FMIPA Institut Teknologi Bandung, Jalan Ganesha 10 Bandung 40132 Indonesia</w:t>
      </w: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br/>
      </w:r>
      <w:r w:rsidRPr="00C56AD0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2</w:t>
      </w: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 </w:t>
      </w:r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Program Studi Astronomi dan Observatorium Bosscha, FMIPA Institut Teknologi Bandung, Jalan Gan</w:t>
      </w:r>
      <w:r w:rsidR="005B5A65" w:rsidRPr="00C56AD0">
        <w:rPr>
          <w:rFonts w:ascii="Times New Roman" w:eastAsia="Times New Roman" w:hAnsi="Times New Roman" w:cs="Times New Roman"/>
          <w:color w:val="000000"/>
          <w:lang w:eastAsia="en-MY"/>
        </w:rPr>
        <w:t>esha 10 Bandung 40132 Indonesia</w:t>
      </w:r>
      <w:r w:rsidR="005F146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r w:rsidR="00EA14C9" w:rsidRPr="00C56AD0">
        <w:rPr>
          <w:rFonts w:ascii="Times New Roman" w:hAnsi="Times New Roman" w:cs="Times New Roman"/>
        </w:rPr>
        <w:br/>
      </w:r>
    </w:p>
    <w:p w:rsidR="002724C5" w:rsidRPr="00C56AD0" w:rsidRDefault="002724C5" w:rsidP="002724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ABSTRACT</w:t>
      </w:r>
    </w:p>
    <w:p w:rsidR="00857A27" w:rsidRPr="00C56AD0" w:rsidRDefault="00F23185" w:rsidP="00857A27">
      <w:pPr>
        <w:spacing w:before="100" w:beforeAutospacing="1" w:after="100" w:afterAutospacing="1"/>
        <w:ind w:firstLine="150"/>
        <w:jc w:val="both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Observations of the</w:t>
      </w:r>
      <w:r w:rsidR="00C57A9B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central star planetary nebulae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(CSPN)</w:t>
      </w:r>
      <w:r w:rsidR="00C57A9B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IC 4663 reveal that it has spectral features similar to WN sequence of massive Wolf-Rayet (WR)</w:t>
      </w:r>
      <w:r w:rsid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stars and </w:t>
      </w:r>
      <w:r w:rsidR="00731345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classified as [WN3] spectral type because its spectrum are dominated by broad He II and N V emission lines.</w:t>
      </w:r>
      <w:r w:rsidR="00C9796E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The similarity on the composition of O(He) central star and IC 4663 provide evidence for evolutionary sequence [WN] </w:t>
      </w:r>
      <m:oMath>
        <m:r>
          <w:rPr>
            <w:rFonts w:ascii="Cambria Math" w:eastAsia="Times New Roman" w:hAnsi="Cambria Math" w:cs="Times New Roman"/>
            <w:color w:val="000000"/>
            <w:lang w:val="en-MY" w:eastAsia="en-MY"/>
          </w:rPr>
          <m:t>→</m:t>
        </m:r>
      </m:oMath>
      <w:r w:rsidR="00C9796E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O(He). 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Evolution of CSPN tried to be modelled by using MESA. Generally, evolution of CSPN IC 4663 followed evolution low-mass star. When it enters white dw</w:t>
      </w:r>
      <w:r w:rsidR="004757E8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arf phase, CSPN of IC 4663 experience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one born-again scenario so it goes</w:t>
      </w:r>
      <w:r w:rsidR="00F77EE4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back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to Asymptotic Giant Branch (AGB) phase.</w:t>
      </w:r>
      <w:r w:rsidR="004757E8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But, MESA cannot give the complete evolutionary sequence</w:t>
      </w:r>
      <w:r w:rsid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because of its</w:t>
      </w:r>
      <w:r w:rsidR="004757E8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convergence problem.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To investigate both ionization parameters and ch</w:t>
      </w:r>
      <w:r w:rsidR="004757E8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emical abundances of </w:t>
      </w:r>
      <w:r w:rsidR="004757E8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the cen</w:t>
      </w:r>
      <w:r w:rsid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tral star, </w:t>
      </w:r>
      <w:r w:rsidR="004757E8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the nebula</w:t>
      </w:r>
      <w:r w:rsidR="00F77EE4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and its evolutionary status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, we constructed 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the spectral energy distribution (SED) model by using photoionization code Cloudy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  <w:r w:rsidR="00857A27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based on unique data set from optical to far-IR w</w:t>
      </w:r>
      <w:r w:rsidR="004757E8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avelenghth (~3 - 160 micron) and</w:t>
      </w:r>
      <w:r w:rsidR="00C9796E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include the </w:t>
      </w:r>
      <w:r w:rsidR="00C9796E" w:rsidRPr="00C56AD0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>Postdam Wolf-Rayet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PoWR</w:t>
      </w:r>
      <w:r w:rsidR="00C9796E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stellar models</w:t>
      </w:r>
      <w:r w:rsidR="004757E8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for the stellar flux</w:t>
      </w:r>
      <w:r w:rsidR="009954EC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.</w:t>
      </w:r>
      <w:r w:rsidR="00C9796E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  <w:r w:rsidR="004757E8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Then, compare the result with the AGB nucleosynthesis to understand more about the progenitor star of this PN.  </w:t>
      </w:r>
      <w:r w:rsidR="00857A27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 </w:t>
      </w:r>
      <w:r w:rsidR="00EA14C9"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 </w:t>
      </w:r>
    </w:p>
    <w:p w:rsidR="002724C5" w:rsidRPr="00C56AD0" w:rsidRDefault="00F77EE4" w:rsidP="002724C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>Keywords: Interstellar Matter, Planetary Nebulae, IC 4663, Photoionization Model, Cloudy.</w:t>
      </w:r>
      <w:r w:rsidR="002724C5" w:rsidRPr="00C56AD0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 xml:space="preserve"> </w:t>
      </w:r>
    </w:p>
    <w:p w:rsidR="002724C5" w:rsidRPr="00C56AD0" w:rsidRDefault="002724C5" w:rsidP="002724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11"/>
      </w:tblGrid>
      <w:tr w:rsidR="002724C5" w:rsidRPr="00C56AD0" w:rsidTr="00C56AD0">
        <w:trPr>
          <w:tblCellSpacing w:w="15" w:type="dxa"/>
        </w:trPr>
        <w:tc>
          <w:tcPr>
            <w:tcW w:w="0" w:type="auto"/>
            <w:hideMark/>
          </w:tcPr>
          <w:p w:rsidR="002724C5" w:rsidRPr="00C56AD0" w:rsidRDefault="002724C5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[1]</w:t>
            </w:r>
          </w:p>
        </w:tc>
        <w:tc>
          <w:tcPr>
            <w:tcW w:w="8566" w:type="dxa"/>
            <w:hideMark/>
          </w:tcPr>
          <w:p w:rsidR="002724C5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Bl</w:t>
            </w:r>
            <m:oMath>
              <m:acc>
                <m:accPr>
                  <m:chr m:val="̈"/>
                  <m:ctrlPr>
                    <w:rPr>
                      <w:rFonts w:ascii="Cambria Math" w:eastAsia="Times New Roman" w:hAnsi="Cambria Math" w:cs="Times New Roman"/>
                      <w:lang w:eastAsia="en-MY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en-MY"/>
                    </w:rPr>
                    <m:t>o</m:t>
                  </m:r>
                </m:e>
              </m:acc>
            </m:oMath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cker T., 2001, Ap&amp;SS, 275, 1</w:t>
            </w:r>
          </w:p>
        </w:tc>
      </w:tr>
      <w:tr w:rsidR="00C56AD0" w:rsidRPr="00C56AD0" w:rsidTr="00C56AD0">
        <w:trPr>
          <w:tblCellSpacing w:w="15" w:type="dxa"/>
        </w:trPr>
        <w:tc>
          <w:tcPr>
            <w:tcW w:w="0" w:type="auto"/>
          </w:tcPr>
          <w:p w:rsidR="00C56AD0" w:rsidRPr="00C56AD0" w:rsidRDefault="00C56AD0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[2]</w:t>
            </w:r>
          </w:p>
        </w:tc>
        <w:tc>
          <w:tcPr>
            <w:tcW w:w="8566" w:type="dxa"/>
          </w:tcPr>
          <w:p w:rsidR="00C56AD0" w:rsidRPr="00C56AD0" w:rsidRDefault="00C56AD0" w:rsidP="00C56AD0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Ferland, G. J., Porter, R. L., van Hoof, P. A. M., et al. 2013, R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ev. Mexicana Astron. Astrofis., 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49, 137</w:t>
            </w:r>
          </w:p>
        </w:tc>
      </w:tr>
      <w:tr w:rsidR="00F77EE4" w:rsidRPr="00C56AD0" w:rsidTr="00C56AD0">
        <w:trPr>
          <w:tblCellSpacing w:w="15" w:type="dxa"/>
        </w:trPr>
        <w:tc>
          <w:tcPr>
            <w:tcW w:w="0" w:type="auto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</w:t>
            </w:r>
            <w:r w:rsidR="00C56AD0" w:rsidRPr="00C56AD0">
              <w:rPr>
                <w:rFonts w:ascii="Times New Roman" w:eastAsia="Times New Roman" w:hAnsi="Times New Roman" w:cs="Times New Roman"/>
                <w:lang w:val="en-MY" w:eastAsia="en-MY"/>
              </w:rPr>
              <w:t>3</w:t>
            </w: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]</w:t>
            </w:r>
          </w:p>
        </w:tc>
        <w:tc>
          <w:tcPr>
            <w:tcW w:w="8566" w:type="dxa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Hamann W.-R., Koesterke L., 1998, A&amp;A, 335, 1003</w:t>
            </w:r>
          </w:p>
        </w:tc>
      </w:tr>
      <w:tr w:rsidR="002724C5" w:rsidRPr="00C56AD0" w:rsidTr="00C56AD0">
        <w:trPr>
          <w:tblCellSpacing w:w="15" w:type="dxa"/>
        </w:trPr>
        <w:tc>
          <w:tcPr>
            <w:tcW w:w="0" w:type="auto"/>
            <w:hideMark/>
          </w:tcPr>
          <w:p w:rsidR="002724C5" w:rsidRPr="00C56AD0" w:rsidRDefault="00C56AD0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[4</w:t>
            </w:r>
            <w:r w:rsidR="002724C5" w:rsidRPr="00C56AD0">
              <w:rPr>
                <w:rFonts w:ascii="Times New Roman" w:eastAsia="Times New Roman" w:hAnsi="Times New Roman" w:cs="Times New Roman"/>
                <w:lang w:val="en-MY" w:eastAsia="en-MY"/>
              </w:rPr>
              <w:t>]</w:t>
            </w:r>
          </w:p>
        </w:tc>
        <w:tc>
          <w:tcPr>
            <w:tcW w:w="8566" w:type="dxa"/>
            <w:hideMark/>
          </w:tcPr>
          <w:p w:rsidR="002724C5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Herwig F., 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Bl</w:t>
            </w:r>
            <m:oMath>
              <m:acc>
                <m:accPr>
                  <m:chr m:val="̈"/>
                  <m:ctrlPr>
                    <w:rPr>
                      <w:rFonts w:ascii="Cambria Math" w:eastAsia="Times New Roman" w:hAnsi="Cambria Math" w:cs="Times New Roman"/>
                      <w:lang w:eastAsia="en-MY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en-MY"/>
                    </w:rPr>
                    <m:t>o</m:t>
                  </m:r>
                </m:e>
              </m:acc>
            </m:oMath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cker 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T., Langer N., Driebe T., 1999, A&amp;A, 349, L5</w:t>
            </w:r>
          </w:p>
        </w:tc>
      </w:tr>
      <w:tr w:rsidR="00F77EE4" w:rsidRPr="00C56AD0" w:rsidTr="00C56AD0">
        <w:trPr>
          <w:tblCellSpacing w:w="15" w:type="dxa"/>
        </w:trPr>
        <w:tc>
          <w:tcPr>
            <w:tcW w:w="0" w:type="auto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</w:t>
            </w:r>
            <w:r w:rsidR="00C56AD0" w:rsidRPr="00C56AD0">
              <w:rPr>
                <w:rFonts w:ascii="Times New Roman" w:eastAsia="Times New Roman" w:hAnsi="Times New Roman" w:cs="Times New Roman"/>
                <w:lang w:val="en-MY" w:eastAsia="en-MY"/>
              </w:rPr>
              <w:t>5</w:t>
            </w: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 xml:space="preserve">] </w:t>
            </w:r>
          </w:p>
        </w:tc>
        <w:tc>
          <w:tcPr>
            <w:tcW w:w="8566" w:type="dxa"/>
          </w:tcPr>
          <w:p w:rsidR="00F77EE4" w:rsidRPr="00C56AD0" w:rsidRDefault="00F77EE4" w:rsidP="00F77EE4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Miszalski B., Crowther P. 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A., De Marco O., Koppen J., Moffat 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A. F. J., Acker A., 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 </w:t>
            </w:r>
          </w:p>
          <w:p w:rsidR="00F77EE4" w:rsidRPr="00C56AD0" w:rsidRDefault="00F77EE4" w:rsidP="00F77EE4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     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Hillwig T. C., 2012, MNRAS, 423, 934</w:t>
            </w:r>
          </w:p>
        </w:tc>
      </w:tr>
      <w:tr w:rsidR="00C56AD0" w:rsidRPr="00C56AD0" w:rsidTr="00C56AD0">
        <w:trPr>
          <w:tblCellSpacing w:w="15" w:type="dxa"/>
        </w:trPr>
        <w:tc>
          <w:tcPr>
            <w:tcW w:w="0" w:type="auto"/>
          </w:tcPr>
          <w:p w:rsidR="00C56AD0" w:rsidRPr="00C56AD0" w:rsidRDefault="00C56AD0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[6]</w:t>
            </w:r>
          </w:p>
        </w:tc>
        <w:tc>
          <w:tcPr>
            <w:tcW w:w="8566" w:type="dxa"/>
          </w:tcPr>
          <w:p w:rsidR="00C56AD0" w:rsidRPr="00C56AD0" w:rsidRDefault="00C56AD0" w:rsidP="00C56AD0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Paxton, B., Bildste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n, L., Dotter, A., et al. 2010, ApJS, 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192, 3</w:t>
            </w:r>
          </w:p>
        </w:tc>
      </w:tr>
      <w:tr w:rsidR="00F77EE4" w:rsidRPr="00C56AD0" w:rsidTr="00C56AD0">
        <w:trPr>
          <w:tblCellSpacing w:w="15" w:type="dxa"/>
        </w:trPr>
        <w:tc>
          <w:tcPr>
            <w:tcW w:w="0" w:type="auto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</w:t>
            </w:r>
            <w:r w:rsidR="00C56AD0" w:rsidRPr="00C56AD0">
              <w:rPr>
                <w:rFonts w:ascii="Times New Roman" w:eastAsia="Times New Roman" w:hAnsi="Times New Roman" w:cs="Times New Roman"/>
                <w:lang w:val="en-MY" w:eastAsia="en-MY"/>
              </w:rPr>
              <w:t>7</w:t>
            </w: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]</w:t>
            </w:r>
          </w:p>
        </w:tc>
        <w:tc>
          <w:tcPr>
            <w:tcW w:w="8566" w:type="dxa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Schoenberner D., 1979, A&amp;A, 79, 108</w:t>
            </w:r>
          </w:p>
        </w:tc>
      </w:tr>
      <w:tr w:rsidR="00F77EE4" w:rsidRPr="00C56AD0" w:rsidTr="00C56AD0">
        <w:trPr>
          <w:tblCellSpacing w:w="15" w:type="dxa"/>
        </w:trPr>
        <w:tc>
          <w:tcPr>
            <w:tcW w:w="0" w:type="auto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</w:t>
            </w:r>
            <w:r w:rsidR="00C56AD0" w:rsidRPr="00C56AD0">
              <w:rPr>
                <w:rFonts w:ascii="Times New Roman" w:eastAsia="Times New Roman" w:hAnsi="Times New Roman" w:cs="Times New Roman"/>
                <w:lang w:val="en-MY" w:eastAsia="en-MY"/>
              </w:rPr>
              <w:t>8</w:t>
            </w: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]</w:t>
            </w:r>
          </w:p>
        </w:tc>
        <w:tc>
          <w:tcPr>
            <w:tcW w:w="8566" w:type="dxa"/>
          </w:tcPr>
          <w:p w:rsidR="00F77EE4" w:rsidRPr="00C56AD0" w:rsidRDefault="00F77EE4" w:rsidP="00F77EE4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Todt H., Sander A., Hainich R., Hamann W.-R., Quade M.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, </w:t>
            </w: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Shenar T., 2015, A&amp;A, 579, A75</w:t>
            </w:r>
          </w:p>
        </w:tc>
      </w:tr>
    </w:tbl>
    <w:p w:rsidR="00086138" w:rsidRPr="00C56AD0" w:rsidRDefault="00086138">
      <w:pPr>
        <w:rPr>
          <w:rFonts w:ascii="Times New Roman" w:hAnsi="Times New Roman" w:cs="Times New Roman"/>
        </w:rPr>
      </w:pPr>
    </w:p>
    <w:sectPr w:rsidR="00086138" w:rsidRPr="00C56AD0" w:rsidSect="00EA14C9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C5"/>
    <w:rsid w:val="00086138"/>
    <w:rsid w:val="0024191D"/>
    <w:rsid w:val="002724C5"/>
    <w:rsid w:val="003F7936"/>
    <w:rsid w:val="004757E8"/>
    <w:rsid w:val="005B5A65"/>
    <w:rsid w:val="005F1469"/>
    <w:rsid w:val="00731345"/>
    <w:rsid w:val="00857A27"/>
    <w:rsid w:val="009954EC"/>
    <w:rsid w:val="00C56AD0"/>
    <w:rsid w:val="00C57A9B"/>
    <w:rsid w:val="00C9796E"/>
    <w:rsid w:val="00E46DB4"/>
    <w:rsid w:val="00E950C5"/>
    <w:rsid w:val="00EA14C9"/>
    <w:rsid w:val="00F23185"/>
    <w:rsid w:val="00F7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PlaceholderText">
    <w:name w:val="Placeholder Text"/>
    <w:basedOn w:val="DefaultParagraphFont"/>
    <w:uiPriority w:val="99"/>
    <w:semiHidden/>
    <w:rsid w:val="00857A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PlaceholderText">
    <w:name w:val="Placeholder Text"/>
    <w:basedOn w:val="DefaultParagraphFont"/>
    <w:uiPriority w:val="99"/>
    <w:semiHidden/>
    <w:rsid w:val="00857A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ismail - [2010]</cp:lastModifiedBy>
  <cp:revision>5</cp:revision>
  <dcterms:created xsi:type="dcterms:W3CDTF">2018-03-05T00:13:00Z</dcterms:created>
  <dcterms:modified xsi:type="dcterms:W3CDTF">2018-08-13T02:22:00Z</dcterms:modified>
</cp:coreProperties>
</file>