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NeuroMesh: Decentralized Cognitive Memory Protocol for AI Agents</w:t>
      </w:r>
    </w:p>
    <w:p>
      <w:r>
        <w:rPr>
          <w:b/>
          <w:bCs/>
          <w:sz w:val="28"/>
          <w:szCs w:val="28"/>
        </w:rPr>
        <w:t xml:space="preserve">Comprehensive Project Report &amp; Analysis</w:t>
      </w:r>
    </w:p>
    <w:p/>
    <w:p>
      <w:pPr>
        <w:pStyle w:val="Heading1"/>
      </w:pPr>
      <w:r>
        <w:t xml:space="preserve">1. Project Overview (What is it?)</w:t>
      </w:r>
    </w:p>
    <w:p>
      <w:r>
        <w:t xml:space="preserve">NeuroMesh is a decentralized, privacy-preserving memory synchronization protocol designed for multi-agent AI swarms. It allows autonomous AI agents—potentially running on completely different machine learning models and hardware—to store, share, and query contextual memory across a decentralized network.</w:t>
      </w:r>
    </w:p>
    <w:p>
      <w:r>
        <w:t xml:space="preserve">By combining blockchain technology, IPFS, AES-256 encryption, and advanced cross-model semantic synchronization, NeuroMesh creates a secure, global 'cognitive brain' that disparate AI agents can plug into.</w:t>
      </w:r>
    </w:p>
    <w:p>
      <w:pPr>
        <w:pStyle w:val="Heading1"/>
      </w:pPr>
      <w:r>
        <w:t xml:space="preserve">2. The Architectural Flow (How it works)</w:t>
      </w:r>
    </w:p>
    <w:p>
      <w:r>
        <w:t xml:space="preserve">The protocol follows a strictly defined, cryptographically secure pipeline:</w:t>
      </w:r>
    </w:p>
    <w:p>
      <w:pPr>
        <w:pStyle w:val="ListParagraph"/>
        <w:numPr>
          <w:ilvl w:val="0"/>
          <w:numId w:val="1"/>
        </w:numPr>
      </w:pPr>
      <w:r>
        <w:t xml:space="preserve">1. Decentralized Identity (DID): Each AI agent registers a unique identity on the blockchain (Sepolia Testnet) via the AgentIdentity smart contract.</w:t>
      </w:r>
    </w:p>
    <w:p>
      <w:pPr>
        <w:pStyle w:val="ListParagraph"/>
        <w:numPr>
          <w:ilvl w:val="0"/>
          <w:numId w:val="1"/>
        </w:numPr>
      </w:pPr>
      <w:r>
        <w:t xml:space="preserve">2. Context Embedding: An agent processes new information and generates a high-dimensional vector embedding using its specific NLP model (e.g., all-MiniLM-L6-v2 or distilroberta).</w:t>
      </w:r>
    </w:p>
    <w:p>
      <w:pPr>
        <w:pStyle w:val="ListParagraph"/>
        <w:numPr>
          <w:ilvl w:val="0"/>
          <w:numId w:val="1"/>
        </w:numPr>
      </w:pPr>
      <w:r>
        <w:t xml:space="preserve">3. Privacy-Preserving Encryption: The raw context is encrypted locally using AES-256-GCM.</w:t>
      </w:r>
    </w:p>
    <w:p>
      <w:pPr>
        <w:pStyle w:val="ListParagraph"/>
        <w:numPr>
          <w:ilvl w:val="0"/>
          <w:numId w:val="1"/>
        </w:numPr>
      </w:pPr>
      <w:r>
        <w:t xml:space="preserve">4. Decentralized Storage: The encrypted payload, along with a truncated public vector, is pinned to IPFS (via Pinata).</w:t>
      </w:r>
    </w:p>
    <w:p>
      <w:pPr>
        <w:pStyle w:val="ListParagraph"/>
        <w:numPr>
          <w:ilvl w:val="0"/>
          <w:numId w:val="1"/>
        </w:numPr>
      </w:pPr>
      <w:r>
        <w:t xml:space="preserve">5. Cryptographic Proof: The agent commits the IPFS CID, model details, and vector dimensions to the MemoryLedger smart contract.</w:t>
      </w:r>
    </w:p>
    <w:p>
      <w:pPr>
        <w:pStyle w:val="ListParagraph"/>
        <w:numPr>
          <w:ilvl w:val="0"/>
          <w:numId w:val="1"/>
        </w:numPr>
      </w:pPr>
      <w:r>
        <w:t xml:space="preserve">6. Semantic Synchronization: When Agent A needs context from Agent B, they project their differing vector embeddings into a shared semantic space.</w:t>
      </w:r>
    </w:p>
    <w:p>
      <w:pPr>
        <w:pStyle w:val="ListParagraph"/>
        <w:numPr>
          <w:ilvl w:val="0"/>
          <w:numId w:val="1"/>
        </w:numPr>
      </w:pPr>
      <w:r>
        <w:t xml:space="preserve">7. Bayesian Trust: Agents endorse or report the memories of others, building a global Bayesian reputation score via the ReputationManager contract.</w:t>
      </w:r>
    </w:p>
    <w:p>
      <w:pPr>
        <w:pStyle w:val="Heading1"/>
      </w:pPr>
      <w:r>
        <w:t xml:space="preserve">3. Multi-Agent Swarm Dynamics (The Nodes)</w:t>
      </w:r>
    </w:p>
    <w:p>
      <w:r>
        <w:rPr>
          <w:b/>
          <w:bCs/>
        </w:rPr>
        <w:t xml:space="preserve">How many nodes and why?</w:t>
      </w:r>
    </w:p>
    <w:p>
      <w:r>
        <w:t xml:space="preserve">In our current simulation and architectural model, the system operates with 5 distinct AI agent nodes. This number was chosen to demonstrate a critical mass of interactions required for heterogeneous swarm intelligence: Nodes 0, 1, and 2 utilize the all-MiniLM-L6-v2 model (producing 384-dimensional vectors). Nodes 3 and 4 utilize the distilroberta-v1 model (producing 768-dimensional vectors).</w:t>
      </w:r>
    </w:p>
    <w:p>
      <w:r>
        <w:rPr>
          <w:b/>
          <w:bCs/>
        </w:rPr>
        <w:t xml:space="preserve">How they interact:</w:t>
      </w:r>
    </w:p>
    <w:p>
      <w:r>
        <w:t xml:space="preserve">The nodes do not communicate via traditional centralized APIs. Instead, they interact entirely through the decentralized ledger and IPFS. When a node needs information, it queries the blockchain for recent memory CIDs, fetches the encrypted payloads from IPFS, and initiates a semantic search across the network's collective memory bank.</w:t>
      </w:r>
    </w:p>
    <w:p>
      <w:pPr>
        <w:pStyle w:val="Heading1"/>
      </w:pPr>
      <w:r>
        <w:t xml:space="preserve">4. Cognitive Collaboration Across Different Models</w:t>
      </w:r>
    </w:p>
    <w:p>
      <w:r>
        <w:t xml:space="preserve">The most complex challenge in multi-agent swarms is that different AI models speak different mathematical 'languages' (different vector dimensionalities). NeuroMesh achieves Cognitive Collaboration through a semantic translation layer:</w:t>
      </w:r>
    </w:p>
    <w:p>
      <w:pPr>
        <w:pStyle w:val="ListParagraph"/>
        <w:numPr>
          <w:ilvl w:val="0"/>
          <w:numId w:val="1"/>
        </w:numPr>
      </w:pPr>
      <w:r>
        <w:t xml:space="preserve">Dimensionality Alignment: If an agent with a 768d model needs to compare memories with a 384d model, NeuroMesh utilizes the Johnson-Lindenstrauss lemma. It generates a random projection matrix to reduce the higher-dimensional vector into a shared 384d semantic space while preserving pairwise distances.</w:t>
      </w:r>
    </w:p>
    <w:p>
      <w:pPr>
        <w:pStyle w:val="ListParagraph"/>
        <w:numPr>
          <w:ilvl w:val="0"/>
          <w:numId w:val="1"/>
        </w:numPr>
      </w:pPr>
      <w:r>
        <w:t xml:space="preserve">Cosine Similarity Querying: Once aligned, the agents use Cosine Similarity to find the most mathematically relevant memories to their current context.</w:t>
      </w:r>
    </w:p>
    <w:p>
      <w:pPr>
        <w:pStyle w:val="ListParagraph"/>
        <w:numPr>
          <w:ilvl w:val="0"/>
          <w:numId w:val="1"/>
        </w:numPr>
      </w:pPr>
      <w:r>
        <w:t xml:space="preserve">This allows a lightweight AI model on an edge device to cognitively collaborate with a massive LLM on a server, sharing memories seamlessly.</w:t>
      </w:r>
    </w:p>
    <w:p>
      <w:pPr>
        <w:pStyle w:val="Heading1"/>
      </w:pPr>
      <w:r>
        <w:t xml:space="preserve">5. Novelty &amp; Market Analysis</w:t>
      </w:r>
    </w:p>
    <w:p>
      <w:r>
        <w:t xml:space="preserve">Most existing decentralized AI networks (like SingularityNET, Ocean Protocol, or Fetch.ai) focus primarily on Monetizing datasets, Renting GPU compute power, or Triggering basic RPC services between agents.</w:t>
      </w:r>
    </w:p>
    <w:p>
      <w:r>
        <w:rPr>
          <w:b/>
          <w:bCs/>
        </w:rPr>
        <w:t xml:space="preserve">NeuroMesh's Unique Differentiator:</w:t>
      </w:r>
    </w:p>
    <w:p>
      <w:r>
        <w:t xml:space="preserve">NeuroMesh focuses strictly on Cross-Model Cognitive Memory. It assumes agents are already running and instead provides the infrastructure for them to remember and share context securely. The integration of random projection matrices to align vectors from mathematically incompatible models on a decentralized ledger is a massive leap forward. Furthermore, the memory is governed by a Bayesian Trust mechanism—meaning the network organically quarantines 'hallucinating' or malicious agents.</w:t>
      </w:r>
    </w:p>
    <w:p>
      <w:r>
        <w:rPr>
          <w:b/>
          <w:bCs/>
          <w:sz w:val="28"/>
          <w:szCs w:val="28"/>
        </w:rPr>
        <w:t xml:space="preserve">Novelty Score: 9.0 / 10</w:t>
      </w:r>
    </w:p>
    <w:p>
      <w:r>
        <w:t xml:space="preserve">The architecture solves a fundamental bottleneck in AGI research: heterogeneous model interoperability in trustless environments. While the individual primitives (IPFS, AES-256, Cosine Similarity) are established, orchestrating them into a decentralized semantic synchronization layer for AI swarms is highly novel.</w:t>
      </w:r>
    </w:p>
    <w:p>
      <w:pPr>
        <w:pStyle w:val="Heading1"/>
      </w:pPr>
      <w:r>
        <w:t xml:space="preserve">6. Conclusion</w:t>
      </w:r>
    </w:p>
    <w:p>
      <w:r>
        <w:t xml:space="preserve">NeuroMesh establishes a framework where AI agents are no longer isolated silos of intelligence. By providing a secure, encrypted, and mathematically aligned global ledger of context, it paves the way for true decentralized Swarm Intelligence.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2026-08-07T09:31:24.427Z</dcterms:created>
  <dcterms:modified xsi:type="dcterms:W3CDTF">2026-08-07T09:31:24.428Z</dcterms:modified>
</cp:coreProperties>
</file>

<file path=docProps/custom.xml><?xml version="1.0" encoding="utf-8"?>
<Properties xmlns="http://schemas.openxmlformats.org/officeDocument/2006/custom-properties" xmlns:vt="http://schemas.openxmlformats.org/officeDocument/2006/docPropsVTypes"/>
</file>