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rPr>
          <w:rFonts w:ascii="Arial" w:cs="Arial" w:eastAsia="Arial" w:hAnsi="Arial"/>
          <w:b/>
          <w:bCs/>
          <w:color w:val="1A1A1A"/>
          <w:sz w:val="40"/>
          <w:szCs w:val="40"/>
        </w:rPr>
        <w:t xml:space="preserve">AI Sales Agent — Product Build Plan</w:t>
      </w:r>
    </w:p>
    <w:p>
      <w:pPr>
        <w:spacing w:after="60"/>
      </w:pPr>
      <w:r>
        <w:rPr>
          <w:color w:val="555555"/>
          <w:sz w:val="24"/>
          <w:szCs w:val="24"/>
        </w:rPr>
        <w:t xml:space="preserve">An end-to-end plan to build a replica of the Artisan / Ava AI BDR product</w:t>
      </w:r>
    </w:p>
    <w:p>
      <w:pPr>
        <w:pBdr>
          <w:bottom w:val="single" w:color="CCCCCC" w:sz="6" w:space="8"/>
        </w:pBdr>
        <w:spacing w:after="200"/>
      </w:pPr>
      <w:r>
        <w:rPr>
          <w:i/>
          <w:iCs/>
          <w:color w:val="555555"/>
          <w:sz w:val="20"/>
          <w:szCs w:val="20"/>
        </w:rPr>
        <w:t xml:space="preserve">Scope · Technical roadmap · Realistic ceiling · Cost plan</w:t>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40" w:line="276"/>
      </w:pPr>
      <w:r>
        <w:t xml:space="preserve">This document describes how to build a complete, end-to-end replica of Artisan AI's product (their AI BDR, "Ava") under a separate brand. It covers what the product is under the hood, the step-by-step build roadmap, the realistic ceiling on how close the replica can get to Artisan's current performance, and a cost plan designed to keep spend low.</w:t>
      </w:r>
    </w:p>
    <w:p>
      <w:pPr>
        <w:spacing w:after="140" w:line="276"/>
      </w:pPr>
      <w:r>
        <w:t xml:space="preserve">The central finding:</w:t>
      </w:r>
    </w:p>
    <w:p>
      <w:pPr>
        <w:spacing w:after="140" w:line="276"/>
      </w:pPr>
      <w:r>
        <w:rPr>
          <w:b/>
          <w:bCs/>
        </w:rPr>
        <w:t xml:space="preserve">Roughly 80% of Artisan can be replicated quickly. The final 20% — inbox deliverability, data accuracy, and reply quality at scale — is where almost all of the difficulty, cost, and risk live. That 20% cannot be matched by code or budget alone; it requires time and accumulated real-world results.</w:t>
      </w:r>
    </w:p>
    <w:p>
      <w:pPr>
        <w:spacing w:after="140" w:line="276"/>
      </w:pPr>
      <w:r>
        <w:t xml:space="preserve">In practical terms, a product that looks and behaves like Artisan can be shipped in a matter of weeks and be genuinely usable for real customers. On day one it will perform below Artisan on the metrics that matter, because Artisan has a multi-year head start in three areas that are built from time, not software. The goal is the maximum achievable replica, with a clear view of the remaining gap.</w:t>
      </w:r>
    </w:p>
    <w:p>
      <w:pPr>
        <w:pStyle w:val="Heading3"/>
      </w:pPr>
      <w:r>
        <w:t xml:space="preserve">Headline figures</w:t>
      </w:r>
    </w:p>
    <w:p>
      <w:pPr>
        <w:pStyle w:val="ListParagraph"/>
        <w:numPr>
          <w:ilvl w:val="0"/>
          <w:numId w:val="2"/>
        </w:numPr>
        <w:spacing w:after="70" w:line="276"/>
      </w:pPr>
      <w:r>
        <w:rPr>
          <w:b/>
          <w:bCs/>
        </w:rPr>
        <w:t xml:space="preserve">Cost to run at pilot scale: </w:t>
      </w:r>
      <w:r>
        <w:t xml:space="preserve">approximately $500–$1,500 per month (the development subscription is excluded).</w:t>
      </w:r>
    </w:p>
    <w:p>
      <w:pPr>
        <w:pStyle w:val="ListParagraph"/>
        <w:numPr>
          <w:ilvl w:val="0"/>
          <w:numId w:val="2"/>
        </w:numPr>
        <w:spacing w:after="70" w:line="276"/>
      </w:pPr>
      <w:r>
        <w:rPr>
          <w:b/>
          <w:bCs/>
        </w:rPr>
        <w:t xml:space="preserve">Cost at serious scale: </w:t>
      </w:r>
      <w:r>
        <w:t xml:space="preserve">approximately $3,000–$10,000+ per month, dominated by data and email infrastructure, not AI.</w:t>
      </w:r>
    </w:p>
    <w:p>
      <w:pPr>
        <w:pStyle w:val="ListParagraph"/>
        <w:numPr>
          <w:ilvl w:val="0"/>
          <w:numId w:val="2"/>
        </w:numPr>
        <w:spacing w:after="70" w:line="276"/>
      </w:pPr>
      <w:r>
        <w:rPr>
          <w:b/>
          <w:bCs/>
        </w:rPr>
        <w:t xml:space="preserve">Realistic replica ceiling: </w:t>
      </w:r>
      <w:r>
        <w:t xml:space="preserve">~85–90% feature and UX parity; ~60–75% performance parity at launch, closing over time.</w:t>
      </w:r>
    </w:p>
    <w:p>
      <w:pPr>
        <w:pStyle w:val="ListParagraph"/>
        <w:numPr>
          <w:ilvl w:val="0"/>
          <w:numId w:val="2"/>
        </w:numPr>
        <w:spacing w:after="70" w:line="276"/>
      </w:pPr>
      <w:r>
        <w:rPr>
          <w:b/>
          <w:bCs/>
        </w:rPr>
        <w:t xml:space="preserve">The two hard problems: </w:t>
      </w:r>
      <w:r>
        <w:t xml:space="preserve">email deliverability and high-quality personalization at scale. Everything else is straightforward.</w:t>
      </w:r>
    </w:p>
    <w:p>
      <w:r>
        <w:br w:type="page"/>
      </w:r>
    </w:p>
    <w:p>
      <w:pPr>
        <w:pStyle w:val="Heading1"/>
      </w:pPr>
      <w:r>
        <w:t xml:space="preserve">2. What the Product Actually Is</w:t>
      </w:r>
    </w:p>
    <w:p>
      <w:pPr>
        <w:spacing w:after="140" w:line="276"/>
      </w:pPr>
      <w:r>
        <w:t xml:space="preserve">It is tempting to think of this product as "an AI that writes sales emails." That framing leads to wrong decisions. The AI language model is the smallest and least differentiating part. The product is a data pipeline and an email-delivery system, with an AI reasoning layer in the middle.</w:t>
      </w:r>
    </w:p>
    <w:p>
      <w:pPr>
        <w:spacing w:after="140" w:line="276"/>
      </w:pPr>
      <w:r>
        <w:t xml:space="preserve">Broken into its true components, the product is:</w:t>
      </w:r>
    </w:p>
    <w:p>
      <w:pPr>
        <w:pStyle w:val="ListParagraph"/>
        <w:numPr>
          <w:ilvl w:val="0"/>
          <w:numId w:val="2"/>
        </w:numPr>
        <w:spacing w:after="70" w:line="276"/>
      </w:pPr>
      <w:r>
        <w:t xml:space="preserve">A lead database (who to contact)</w:t>
      </w:r>
    </w:p>
    <w:p>
      <w:pPr>
        <w:pStyle w:val="ListParagraph"/>
        <w:numPr>
          <w:ilvl w:val="0"/>
          <w:numId w:val="2"/>
        </w:numPr>
        <w:spacing w:after="70" w:line="276"/>
      </w:pPr>
      <w:r>
        <w:t xml:space="preserve">An enrichment engine (gathering data on each lead from many sources)</w:t>
      </w:r>
    </w:p>
    <w:p>
      <w:pPr>
        <w:pStyle w:val="ListParagraph"/>
        <w:numPr>
          <w:ilvl w:val="0"/>
          <w:numId w:val="2"/>
        </w:numPr>
        <w:spacing w:after="70" w:line="276"/>
      </w:pPr>
      <w:r>
        <w:t xml:space="preserve">An intent engine (detecting buying signals such as funding rounds or new hires)</w:t>
      </w:r>
    </w:p>
    <w:p>
      <w:pPr>
        <w:pStyle w:val="ListParagraph"/>
        <w:numPr>
          <w:ilvl w:val="0"/>
          <w:numId w:val="2"/>
        </w:numPr>
        <w:spacing w:after="70" w:line="276"/>
      </w:pPr>
      <w:r>
        <w:t xml:space="preserve">A research engine (understanding each prospect)</w:t>
      </w:r>
    </w:p>
    <w:p>
      <w:pPr>
        <w:pStyle w:val="ListParagraph"/>
        <w:numPr>
          <w:ilvl w:val="0"/>
          <w:numId w:val="2"/>
        </w:numPr>
        <w:spacing w:after="70" w:line="276"/>
      </w:pPr>
      <w:r>
        <w:t xml:space="preserve">An email-generation engine (writing personalized outreach)</w:t>
      </w:r>
    </w:p>
    <w:p>
      <w:pPr>
        <w:pStyle w:val="ListParagraph"/>
        <w:numPr>
          <w:ilvl w:val="0"/>
          <w:numId w:val="2"/>
        </w:numPr>
        <w:spacing w:after="70" w:line="276"/>
      </w:pPr>
      <w:r>
        <w:t xml:space="preserve">A campaign engine (sequencing and scheduling outreach)</w:t>
      </w:r>
    </w:p>
    <w:p>
      <w:pPr>
        <w:pStyle w:val="ListParagraph"/>
        <w:numPr>
          <w:ilvl w:val="0"/>
          <w:numId w:val="2"/>
        </w:numPr>
        <w:spacing w:after="70" w:line="276"/>
      </w:pPr>
      <w:r>
        <w:t xml:space="preserve">A reply agent (handling responses, objections, and booking meetings)</w:t>
      </w:r>
    </w:p>
    <w:p>
      <w:pPr>
        <w:pStyle w:val="ListParagraph"/>
        <w:numPr>
          <w:ilvl w:val="0"/>
          <w:numId w:val="2"/>
        </w:numPr>
        <w:spacing w:after="70" w:line="276"/>
      </w:pPr>
      <w:r>
        <w:t xml:space="preserve">A deliverability infrastructure (ensuring emails reach the inbox, not spam)</w:t>
      </w:r>
    </w:p>
    <w:p>
      <w:pPr>
        <w:pStyle w:val="ListParagraph"/>
        <w:numPr>
          <w:ilvl w:val="0"/>
          <w:numId w:val="2"/>
        </w:numPr>
        <w:spacing w:after="70" w:line="276"/>
      </w:pPr>
      <w:r>
        <w:t xml:space="preserve">A CRM sync layer (HubSpot, Salesforce)</w:t>
      </w:r>
    </w:p>
    <w:p>
      <w:pPr>
        <w:spacing w:after="140" w:line="276"/>
      </w:pPr>
      <w:r>
        <w:rPr>
          <w:i/>
          <w:iCs/>
        </w:rPr>
        <w:t xml:space="preserve">The strategic consequence: this is not an "AI project" so much as a data-and-deliverability project that uses AI to write the words. Every difficult problem in this plan follows from that fact.</w:t>
      </w:r>
    </w:p>
    <w:p>
      <w:r>
        <w:br w:type="page"/>
      </w:r>
    </w:p>
    <w:p>
      <w:pPr>
        <w:pStyle w:val="Heading1"/>
      </w:pPr>
      <w:r>
        <w:t xml:space="preserve">3. Build Strategy</w:t>
      </w:r>
    </w:p>
    <w:p>
      <w:pPr>
        <w:spacing w:after="140" w:line="276"/>
      </w:pPr>
      <w:r>
        <w:t xml:space="preserve">The plan does not attempt to rebuild Artisan's proprietary infrastructure. Instead, the orchestration layer and the user experience are built in-house, while the expensive components (contact data and email delivery) are rented from established providers through their APIs. This is the only realistic approach for a small team on a limited timeline, and it is how most competitors in this space operate.</w:t>
      </w:r>
    </w:p>
    <w:p>
      <w:pPr>
        <w:pStyle w:val="Heading3"/>
      </w:pPr>
      <w:r>
        <w:t xml:space="preserve">Built in-house</w:t>
      </w:r>
    </w:p>
    <w:p>
      <w:pPr>
        <w:pStyle w:val="ListParagraph"/>
        <w:numPr>
          <w:ilvl w:val="0"/>
          <w:numId w:val="2"/>
        </w:numPr>
        <w:spacing w:after="70" w:line="276"/>
      </w:pPr>
      <w:r>
        <w:t xml:space="preserve">The web app, dashboard, and onboarding experience</w:t>
      </w:r>
    </w:p>
    <w:p>
      <w:pPr>
        <w:pStyle w:val="ListParagraph"/>
        <w:numPr>
          <w:ilvl w:val="0"/>
          <w:numId w:val="2"/>
        </w:numPr>
        <w:spacing w:after="70" w:line="276"/>
      </w:pPr>
      <w:r>
        <w:t xml:space="preserve">The agent orchestration layer that coordinates research, writing, and replies</w:t>
      </w:r>
    </w:p>
    <w:p>
      <w:pPr>
        <w:pStyle w:val="ListParagraph"/>
        <w:numPr>
          <w:ilvl w:val="0"/>
          <w:numId w:val="2"/>
        </w:numPr>
        <w:spacing w:after="70" w:line="276"/>
      </w:pPr>
      <w:r>
        <w:t xml:space="preserve">The campaign engine and analytics</w:t>
      </w:r>
    </w:p>
    <w:p>
      <w:pPr>
        <w:pStyle w:val="ListParagraph"/>
        <w:numPr>
          <w:ilvl w:val="0"/>
          <w:numId w:val="2"/>
        </w:numPr>
        <w:spacing w:after="70" w:line="276"/>
      </w:pPr>
      <w:r>
        <w:t xml:space="preserve">The knowledge base and research pipeline</w:t>
      </w:r>
    </w:p>
    <w:p>
      <w:pPr>
        <w:pStyle w:val="Heading3"/>
      </w:pPr>
      <w:r>
        <w:t xml:space="preserve">Rented (not built)</w:t>
      </w:r>
    </w:p>
    <w:p>
      <w:pPr>
        <w:pStyle w:val="ListParagraph"/>
        <w:numPr>
          <w:ilvl w:val="0"/>
          <w:numId w:val="2"/>
        </w:numPr>
        <w:spacing w:after="70" w:line="276"/>
      </w:pPr>
      <w:r>
        <w:rPr>
          <w:b/>
          <w:bCs/>
        </w:rPr>
        <w:t xml:space="preserve">Contact data: </w:t>
      </w:r>
      <w:r>
        <w:t xml:space="preserve">Apollo, People Data Labs, or similar (hundreds of millions of contacts via API).</w:t>
      </w:r>
    </w:p>
    <w:p>
      <w:pPr>
        <w:pStyle w:val="ListParagraph"/>
        <w:numPr>
          <w:ilvl w:val="0"/>
          <w:numId w:val="2"/>
        </w:numPr>
        <w:spacing w:after="70" w:line="276"/>
      </w:pPr>
      <w:r>
        <w:rPr>
          <w:b/>
          <w:bCs/>
        </w:rPr>
        <w:t xml:space="preserve">Email sending and deliverability: </w:t>
      </w:r>
      <w:r>
        <w:t xml:space="preserve">Smartlead or Instantly (warmup, inbox rotation, sending infrastructure).</w:t>
      </w:r>
    </w:p>
    <w:p>
      <w:pPr>
        <w:pStyle w:val="ListParagraph"/>
        <w:numPr>
          <w:ilvl w:val="0"/>
          <w:numId w:val="2"/>
        </w:numPr>
        <w:spacing w:after="70" w:line="276"/>
      </w:pPr>
      <w:r>
        <w:rPr>
          <w:b/>
          <w:bCs/>
        </w:rPr>
        <w:t xml:space="preserve">AI models: </w:t>
      </w:r>
      <w:r>
        <w:t xml:space="preserve">Anthropic, OpenAI, or Google APIs — cheaper models for simple tasks, stronger models only where needed.</w:t>
      </w:r>
    </w:p>
    <w:p>
      <w:pPr>
        <w:spacing w:after="140" w:line="276"/>
      </w:pPr>
      <w:r>
        <w:t xml:space="preserve">Naming and branding are entirely separate. The plan replicates the workflow, capability, and user experience — not Artisan's name, logo, or copy — to avoid trademark exposure and to establish an independent brand.</w:t>
      </w:r>
    </w:p>
    <w:p>
      <w:r>
        <w:br w:type="page"/>
      </w:r>
    </w:p>
    <w:p>
      <w:pPr>
        <w:pStyle w:val="Heading1"/>
      </w:pPr>
      <w:r>
        <w:t xml:space="preserve">4. Technical Roadmap (End to End)</w:t>
      </w:r>
    </w:p>
    <w:p>
      <w:pPr>
        <w:spacing w:after="140" w:line="276"/>
      </w:pPr>
      <w:r>
        <w:t xml:space="preserve">The product is built as a series of stages that mirror how the AI agent processes a lead from start to finish. Each stage below lists what it does, how it is built, and its engineering difficulty on a 1–10 scale.</w:t>
      </w:r>
    </w:p>
    <w:p>
      <w:pPr>
        <w:pStyle w:val="Heading2"/>
      </w:pPr>
      <w:r>
        <w:t xml:space="preserve">Stage-by-stage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3200"/>
        <w:gridCol w:w="1360"/>
      </w:tblGrid>
      <w:tr>
        <w:trPr>
          <w:tblHeader/>
        </w:trPr>
        <w:tc>
          <w:tcPr>
            <w:tcW w:type="dxa" w:w="1900"/>
            <w:tcBorders>
              <w:top w:val="single" w:color="CCCCCC" w:sz="1"/>
              <w:left w:val="single" w:color="CCCCCC" w:sz="1"/>
              <w:bottom w:val="single" w:color="CCCCCC" w:sz="1"/>
              <w:right w:val="single" w:color="CCCCCC" w:sz="1"/>
            </w:tcBorders>
            <w:shd w:fill="33373B" w:val="clear"/>
            <w:tcMar>
              <w:top w:type="dxa" w:w="70"/>
              <w:left w:type="dxa" w:w="120"/>
              <w:bottom w:type="dxa" w:w="70"/>
              <w:right w:type="dxa" w:w="120"/>
            </w:tcMar>
          </w:tcPr>
          <w:p>
            <w:pPr>
              <w:jc w:val="left"/>
            </w:pPr>
            <w:r>
              <w:rPr>
                <w:b/>
                <w:bCs/>
                <w:color w:val="FFFFFF"/>
                <w:sz w:val="20"/>
                <w:szCs w:val="20"/>
              </w:rPr>
              <w:t xml:space="preserve">Stage</w:t>
            </w:r>
          </w:p>
        </w:tc>
        <w:tc>
          <w:tcPr>
            <w:tcW w:type="dxa" w:w="2900"/>
            <w:tcBorders>
              <w:top w:val="single" w:color="CCCCCC" w:sz="1"/>
              <w:left w:val="single" w:color="CCCCCC" w:sz="1"/>
              <w:bottom w:val="single" w:color="CCCCCC" w:sz="1"/>
              <w:right w:val="single" w:color="CCCCCC" w:sz="1"/>
            </w:tcBorders>
            <w:shd w:fill="33373B" w:val="clear"/>
            <w:tcMar>
              <w:top w:type="dxa" w:w="70"/>
              <w:left w:type="dxa" w:w="120"/>
              <w:bottom w:type="dxa" w:w="70"/>
              <w:right w:type="dxa" w:w="120"/>
            </w:tcMar>
          </w:tcPr>
          <w:p>
            <w:pPr>
              <w:jc w:val="left"/>
            </w:pPr>
            <w:r>
              <w:rPr>
                <w:b/>
                <w:bCs/>
                <w:color w:val="FFFFFF"/>
                <w:sz w:val="20"/>
                <w:szCs w:val="20"/>
              </w:rPr>
              <w:t xml:space="preserve">What it does</w:t>
            </w:r>
          </w:p>
        </w:tc>
        <w:tc>
          <w:tcPr>
            <w:tcW w:type="dxa" w:w="3200"/>
            <w:tcBorders>
              <w:top w:val="single" w:color="CCCCCC" w:sz="1"/>
              <w:left w:val="single" w:color="CCCCCC" w:sz="1"/>
              <w:bottom w:val="single" w:color="CCCCCC" w:sz="1"/>
              <w:right w:val="single" w:color="CCCCCC" w:sz="1"/>
            </w:tcBorders>
            <w:shd w:fill="33373B" w:val="clear"/>
            <w:tcMar>
              <w:top w:type="dxa" w:w="70"/>
              <w:left w:type="dxa" w:w="120"/>
              <w:bottom w:type="dxa" w:w="70"/>
              <w:right w:type="dxa" w:w="120"/>
            </w:tcMar>
          </w:tcPr>
          <w:p>
            <w:pPr>
              <w:jc w:val="left"/>
            </w:pPr>
            <w:r>
              <w:rPr>
                <w:b/>
                <w:bCs/>
                <w:color w:val="FFFFFF"/>
                <w:sz w:val="20"/>
                <w:szCs w:val="20"/>
              </w:rPr>
              <w:t xml:space="preserve">How it is built</w:t>
            </w:r>
          </w:p>
        </w:tc>
        <w:tc>
          <w:tcPr>
            <w:tcW w:type="dxa" w:w="1360"/>
            <w:tcBorders>
              <w:top w:val="single" w:color="CCCCCC" w:sz="1"/>
              <w:left w:val="single" w:color="CCCCCC" w:sz="1"/>
              <w:bottom w:val="single" w:color="CCCCCC" w:sz="1"/>
              <w:right w:val="single" w:color="CCCCCC" w:sz="1"/>
            </w:tcBorders>
            <w:shd w:fill="33373B" w:val="clear"/>
            <w:tcMar>
              <w:top w:type="dxa" w:w="70"/>
              <w:left w:type="dxa" w:w="120"/>
              <w:bottom w:type="dxa" w:w="70"/>
              <w:right w:type="dxa" w:w="120"/>
            </w:tcMar>
          </w:tcPr>
          <w:p>
            <w:pPr>
              <w:jc w:val="left"/>
            </w:pPr>
            <w:r>
              <w:rPr>
                <w:b/>
                <w:bCs/>
                <w:color w:val="FFFFFF"/>
                <w:sz w:val="20"/>
                <w:szCs w:val="20"/>
              </w:rPr>
              <w:t xml:space="preserve">Difficulty</w:t>
            </w:r>
          </w:p>
        </w:tc>
      </w:tr>
      <w:tr>
        <w:tc>
          <w:tcPr>
            <w:tcW w:type="dxa" w:w="1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1. Onboarding + Knowledge Base</w:t>
            </w:r>
          </w:p>
        </w:tc>
        <w:tc>
          <w:tcPr>
            <w:tcW w:type="dxa" w:w="2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Conversational intake; scrapes the customer's website to learn their product</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Web scraper, chunking, embeddings stored in a vector database (RAG)</w:t>
            </w:r>
          </w:p>
        </w:tc>
        <w:tc>
          <w:tcPr>
            <w:tcW w:type="dxa" w:w="13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color w:val="1A1A1A"/>
                <w:sz w:val="20"/>
                <w:szCs w:val="20"/>
              </w:rPr>
              <w:t xml:space="preserve">3 / 10</w:t>
            </w:r>
          </w:p>
        </w:tc>
      </w:tr>
      <w:tr>
        <w:tc>
          <w:tcPr>
            <w:tcW w:type="dxa" w:w="19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2. Lead Discovery</w:t>
            </w:r>
          </w:p>
        </w:tc>
        <w:tc>
          <w:tcPr>
            <w:tcW w:type="dxa" w:w="29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Finds leads matching the customer's ideal profile</w:t>
            </w:r>
          </w:p>
        </w:tc>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Wrap Apollo / PDL APIs; act as the orchestration layer, not the data owner</w:t>
            </w:r>
          </w:p>
        </w:tc>
        <w:tc>
          <w:tcPr>
            <w:tcW w:type="dxa" w:w="1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center"/>
            </w:pPr>
            <w:r>
              <w:rPr>
                <w:b w:val="false"/>
                <w:bCs w:val="false"/>
                <w:color w:val="1A1A1A"/>
                <w:sz w:val="20"/>
                <w:szCs w:val="20"/>
              </w:rPr>
              <w:t xml:space="preserve">2 / 10</w:t>
            </w:r>
          </w:p>
        </w:tc>
      </w:tr>
      <w:tr>
        <w:tc>
          <w:tcPr>
            <w:tcW w:type="dxa" w:w="1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3. Enrichment</w:t>
            </w:r>
          </w:p>
        </w:tc>
        <w:tc>
          <w:tcPr>
            <w:tcW w:type="dxa" w:w="2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Adds data points to each lead</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Integrate 2–3 providers in a fallback chain, plus email verification</w:t>
            </w:r>
          </w:p>
        </w:tc>
        <w:tc>
          <w:tcPr>
            <w:tcW w:type="dxa" w:w="13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color w:val="1A1A1A"/>
                <w:sz w:val="20"/>
                <w:szCs w:val="20"/>
              </w:rPr>
              <w:t xml:space="preserve">6 / 10</w:t>
            </w:r>
          </w:p>
        </w:tc>
      </w:tr>
      <w:tr>
        <w:tc>
          <w:tcPr>
            <w:tcW w:type="dxa" w:w="19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4. Intent Signals</w:t>
            </w:r>
          </w:p>
        </w:tc>
        <w:tc>
          <w:tcPr>
            <w:tcW w:type="dxa" w:w="29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Detects funding, hiring, and leadership changes to prioritize leads</w:t>
            </w:r>
          </w:p>
        </w:tc>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Daily jobs against news/jobs APIs and provider intent topics</w:t>
            </w:r>
          </w:p>
        </w:tc>
        <w:tc>
          <w:tcPr>
            <w:tcW w:type="dxa" w:w="1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center"/>
            </w:pPr>
            <w:r>
              <w:rPr>
                <w:b w:val="false"/>
                <w:bCs w:val="false"/>
                <w:color w:val="1A1A1A"/>
                <w:sz w:val="20"/>
                <w:szCs w:val="20"/>
              </w:rPr>
              <w:t xml:space="preserve">6 / 10</w:t>
            </w:r>
          </w:p>
        </w:tc>
      </w:tr>
      <w:tr>
        <w:tc>
          <w:tcPr>
            <w:tcW w:type="dxa" w:w="1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5. Research Agent</w:t>
            </w:r>
          </w:p>
        </w:tc>
        <w:tc>
          <w:tcPr>
            <w:tcW w:type="dxa" w:w="2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Researches each prospect to find angles</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AI sub-agent grounded in retrieved facts (LangGraph)</w:t>
            </w:r>
          </w:p>
        </w:tc>
        <w:tc>
          <w:tcPr>
            <w:tcW w:type="dxa" w:w="13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color w:val="1A1A1A"/>
                <w:sz w:val="20"/>
                <w:szCs w:val="20"/>
              </w:rPr>
              <w:t xml:space="preserve">5 / 10</w:t>
            </w:r>
          </w:p>
        </w:tc>
      </w:tr>
      <w:tr>
        <w:tc>
          <w:tcPr>
            <w:tcW w:type="dxa" w:w="19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6. Personalization Agent</w:t>
            </w:r>
          </w:p>
        </w:tc>
        <w:tc>
          <w:tcPr>
            <w:tcW w:type="dxa" w:w="29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Writes tailored, human-sounding emails</w:t>
            </w:r>
          </w:p>
        </w:tc>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AI writer grounded in research and knowledge base; heavy prompt tuning</w:t>
            </w:r>
          </w:p>
        </w:tc>
        <w:tc>
          <w:tcPr>
            <w:tcW w:type="dxa" w:w="1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center"/>
            </w:pPr>
            <w:r>
              <w:rPr>
                <w:b w:val="false"/>
                <w:bCs w:val="false"/>
                <w:color w:val="1A1A1A"/>
                <w:sz w:val="20"/>
                <w:szCs w:val="20"/>
              </w:rPr>
              <w:t xml:space="preserve">7 / 10</w:t>
            </w:r>
          </w:p>
        </w:tc>
      </w:tr>
      <w:tr>
        <w:tc>
          <w:tcPr>
            <w:tcW w:type="dxa" w:w="1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7. Campaign Engine</w:t>
            </w:r>
          </w:p>
        </w:tc>
        <w:tc>
          <w:tcPr>
            <w:tcW w:type="dxa" w:w="2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Sequences and schedules multi-step outreach</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Durable job queue with state, waits, and retries</w:t>
            </w:r>
          </w:p>
        </w:tc>
        <w:tc>
          <w:tcPr>
            <w:tcW w:type="dxa" w:w="13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color w:val="1A1A1A"/>
                <w:sz w:val="20"/>
                <w:szCs w:val="20"/>
              </w:rPr>
              <w:t xml:space="preserve">3 / 10</w:t>
            </w:r>
          </w:p>
        </w:tc>
      </w:tr>
      <w:tr>
        <w:tc>
          <w:tcPr>
            <w:tcW w:type="dxa" w:w="19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8. Reply Agent</w:t>
            </w:r>
          </w:p>
        </w:tc>
        <w:tc>
          <w:tcPr>
            <w:tcW w:type="dxa" w:w="29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Reads replies, qualifies, handles objections, books meetings</w:t>
            </w:r>
          </w:p>
        </w:tc>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Classifier, reply drafter, calendar API, human-review queue</w:t>
            </w:r>
          </w:p>
        </w:tc>
        <w:tc>
          <w:tcPr>
            <w:tcW w:type="dxa" w:w="1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center"/>
            </w:pPr>
            <w:r>
              <w:rPr>
                <w:b w:val="false"/>
                <w:bCs w:val="false"/>
                <w:color w:val="1A1A1A"/>
                <w:sz w:val="20"/>
                <w:szCs w:val="20"/>
              </w:rPr>
              <w:t xml:space="preserve">8 / 10</w:t>
            </w:r>
          </w:p>
        </w:tc>
      </w:tr>
      <w:tr>
        <w:tc>
          <w:tcPr>
            <w:tcW w:type="dxa" w:w="1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9. Meeting Booking</w:t>
            </w:r>
          </w:p>
        </w:tc>
        <w:tc>
          <w:tcPr>
            <w:tcW w:type="dxa" w:w="2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Schedules meetings on the rep's calendar</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Cal.com / Google / Outlook APIs</w:t>
            </w:r>
          </w:p>
        </w:tc>
        <w:tc>
          <w:tcPr>
            <w:tcW w:type="dxa" w:w="13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color w:val="1A1A1A"/>
                <w:sz w:val="20"/>
                <w:szCs w:val="20"/>
              </w:rPr>
              <w:t xml:space="preserve">2 / 10</w:t>
            </w:r>
          </w:p>
        </w:tc>
      </w:tr>
      <w:tr>
        <w:tc>
          <w:tcPr>
            <w:tcW w:type="dxa" w:w="19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10. Deliverability</w:t>
            </w:r>
          </w:p>
        </w:tc>
        <w:tc>
          <w:tcPr>
            <w:tcW w:type="dxa" w:w="29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Ensures emails reach the inbox</w:t>
            </w:r>
          </w:p>
        </w:tc>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Rent Smartlead / Instantly; own the strategy and monitoring</w:t>
            </w:r>
          </w:p>
        </w:tc>
        <w:tc>
          <w:tcPr>
            <w:tcW w:type="dxa" w:w="1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center"/>
            </w:pPr>
            <w:r>
              <w:rPr>
                <w:b w:val="false"/>
                <w:bCs w:val="false"/>
                <w:color w:val="1A1A1A"/>
                <w:sz w:val="20"/>
                <w:szCs w:val="20"/>
              </w:rPr>
              <w:t xml:space="preserve">10 / 10</w:t>
            </w:r>
          </w:p>
        </w:tc>
      </w:tr>
      <w:tr>
        <w:tc>
          <w:tcPr>
            <w:tcW w:type="dxa" w:w="1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11. CRM Sync</w:t>
            </w:r>
          </w:p>
        </w:tc>
        <w:tc>
          <w:tcPr>
            <w:tcW w:type="dxa" w:w="2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Two-way sync with HubSpot / Salesforce</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Official APIs, with care not to corrupt customer data</w:t>
            </w:r>
          </w:p>
        </w:tc>
        <w:tc>
          <w:tcPr>
            <w:tcW w:type="dxa" w:w="13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color w:val="1A1A1A"/>
                <w:sz w:val="20"/>
                <w:szCs w:val="20"/>
              </w:rPr>
              <w:t xml:space="preserve">5 / 10</w:t>
            </w:r>
          </w:p>
        </w:tc>
      </w:tr>
    </w:tbl>
    <w:p>
      <w:pPr>
        <w:spacing w:after="60"/>
      </w:pPr>
      <w:r>
        <w:t xml:space="preserve"/>
      </w:r>
    </w:p>
    <w:p>
      <w:pPr>
        <w:pStyle w:val="Heading2"/>
      </w:pPr>
      <w:r>
        <w:t xml:space="preserve">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CCCCCC" w:sz="1"/>
              <w:left w:val="single" w:color="CCCCCC" w:sz="1"/>
              <w:bottom w:val="single" w:color="CCCCCC" w:sz="1"/>
              <w:right w:val="single" w:color="CCCCCC" w:sz="1"/>
            </w:tcBorders>
            <w:shd w:fill="33373B" w:val="clear"/>
            <w:tcMar>
              <w:top w:type="dxa" w:w="70"/>
              <w:left w:type="dxa" w:w="120"/>
              <w:bottom w:type="dxa" w:w="70"/>
              <w:right w:type="dxa" w:w="120"/>
            </w:tcMar>
          </w:tcPr>
          <w:p>
            <w:pPr>
              <w:jc w:val="left"/>
            </w:pPr>
            <w:r>
              <w:rPr>
                <w:b/>
                <w:bCs/>
                <w:color w:val="FFFFFF"/>
                <w:sz w:val="20"/>
                <w:szCs w:val="20"/>
              </w:rPr>
              <w:t xml:space="preserve">Layer</w:t>
            </w:r>
          </w:p>
        </w:tc>
        <w:tc>
          <w:tcPr>
            <w:tcW w:type="dxa" w:w="3300"/>
            <w:tcBorders>
              <w:top w:val="single" w:color="CCCCCC" w:sz="1"/>
              <w:left w:val="single" w:color="CCCCCC" w:sz="1"/>
              <w:bottom w:val="single" w:color="CCCCCC" w:sz="1"/>
              <w:right w:val="single" w:color="CCCCCC" w:sz="1"/>
            </w:tcBorders>
            <w:shd w:fill="33373B" w:val="clear"/>
            <w:tcMar>
              <w:top w:type="dxa" w:w="70"/>
              <w:left w:type="dxa" w:w="120"/>
              <w:bottom w:type="dxa" w:w="70"/>
              <w:right w:type="dxa" w:w="120"/>
            </w:tcMar>
          </w:tcPr>
          <w:p>
            <w:pPr>
              <w:jc w:val="left"/>
            </w:pPr>
            <w:r>
              <w:rPr>
                <w:b/>
                <w:bCs/>
                <w:color w:val="FFFFFF"/>
                <w:sz w:val="20"/>
                <w:szCs w:val="20"/>
              </w:rPr>
              <w:t xml:space="preserve">Choice</w:t>
            </w:r>
          </w:p>
        </w:tc>
        <w:tc>
          <w:tcPr>
            <w:tcW w:type="dxa" w:w="3860"/>
            <w:tcBorders>
              <w:top w:val="single" w:color="CCCCCC" w:sz="1"/>
              <w:left w:val="single" w:color="CCCCCC" w:sz="1"/>
              <w:bottom w:val="single" w:color="CCCCCC" w:sz="1"/>
              <w:right w:val="single" w:color="CCCCCC" w:sz="1"/>
            </w:tcBorders>
            <w:shd w:fill="33373B" w:val="clear"/>
            <w:tcMar>
              <w:top w:type="dxa" w:w="70"/>
              <w:left w:type="dxa" w:w="120"/>
              <w:bottom w:type="dxa" w:w="70"/>
              <w:right w:type="dxa" w:w="120"/>
            </w:tcMar>
          </w:tcPr>
          <w:p>
            <w:pPr>
              <w:jc w:val="left"/>
            </w:pPr>
            <w:r>
              <w:rPr>
                <w:b/>
                <w:bCs/>
                <w:color w:val="FFFFFF"/>
                <w:sz w:val="20"/>
                <w:szCs w:val="20"/>
              </w:rPr>
              <w:t xml:space="preserve">Reason</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Frontend</w:t>
            </w:r>
          </w:p>
        </w:tc>
        <w:tc>
          <w:tcPr>
            <w:tcW w:type="dxa" w:w="33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Next.js + Tailwind + shadcn/ui</w:t>
            </w:r>
          </w:p>
        </w:tc>
        <w:tc>
          <w:tcPr>
            <w:tcW w:type="dxa" w:w="38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Fast to build; AI-assisted coding is effective here</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Backend / API</w:t>
            </w:r>
          </w:p>
        </w:tc>
        <w:tc>
          <w:tcPr>
            <w:tcW w:type="dxa" w:w="33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TypeScript (Node) or Python / FastAPI</w:t>
            </w:r>
          </w:p>
        </w:tc>
        <w:tc>
          <w:tcPr>
            <w:tcW w:type="dxa" w:w="38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A single language is simpler; TypeScript matches proven setups</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Agent orchestration</w:t>
            </w:r>
          </w:p>
        </w:tc>
        <w:tc>
          <w:tcPr>
            <w:tcW w:type="dxa" w:w="33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LangGraph</w:t>
            </w:r>
          </w:p>
        </w:tc>
        <w:tc>
          <w:tcPr>
            <w:tcW w:type="dxa" w:w="38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Supervisor with specialized sub-agents; the proven pattern for this product</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Database + Auth</w:t>
            </w:r>
          </w:p>
        </w:tc>
        <w:tc>
          <w:tcPr>
            <w:tcW w:type="dxa" w:w="33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Supabase (Postgres)</w:t>
            </w:r>
          </w:p>
        </w:tc>
        <w:tc>
          <w:tcPr>
            <w:tcW w:type="dxa" w:w="38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Database, auth, and row-level security in one; a major time saver</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Vector store</w:t>
            </w:r>
          </w:p>
        </w:tc>
        <w:tc>
          <w:tcPr>
            <w:tcW w:type="dxa" w:w="33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pgvector (inside Postgres)</w:t>
            </w:r>
          </w:p>
        </w:tc>
        <w:tc>
          <w:tcPr>
            <w:tcW w:type="dxa" w:w="38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Avoids running a separate service at this scale</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Job queue</w:t>
            </w:r>
          </w:p>
        </w:tc>
        <w:tc>
          <w:tcPr>
            <w:tcW w:type="dxa" w:w="33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Inngest / Trigger.dev</w:t>
            </w:r>
          </w:p>
        </w:tc>
        <w:tc>
          <w:tcPr>
            <w:tcW w:type="dxa" w:w="38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The product is asynchronous; it needs durable, retryable jobs</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Data</w:t>
            </w:r>
          </w:p>
        </w:tc>
        <w:tc>
          <w:tcPr>
            <w:tcW w:type="dxa" w:w="33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Apollo / People Data Labs API</w:t>
            </w:r>
          </w:p>
        </w:tc>
        <w:tc>
          <w:tcPr>
            <w:tcW w:type="dxa" w:w="38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Rented contact and enrichment data</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Email</w:t>
            </w:r>
          </w:p>
        </w:tc>
        <w:tc>
          <w:tcPr>
            <w:tcW w:type="dxa" w:w="33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Smartlead / Instantly API</w:t>
            </w:r>
          </w:p>
        </w:tc>
        <w:tc>
          <w:tcPr>
            <w:tcW w:type="dxa" w:w="38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Rented sending, warmup, and deliverability</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Scheduling</w:t>
            </w:r>
          </w:p>
        </w:tc>
        <w:tc>
          <w:tcPr>
            <w:tcW w:type="dxa" w:w="33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Cal.com</w:t>
            </w:r>
          </w:p>
        </w:tc>
        <w:tc>
          <w:tcPr>
            <w:tcW w:type="dxa" w:w="38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Open-source, simple meeting booking</w:t>
            </w:r>
          </w:p>
        </w:tc>
      </w:tr>
    </w:tbl>
    <w:p>
      <w:pPr>
        <w:spacing w:after="60"/>
      </w:pPr>
      <w:r>
        <w:t xml:space="preserve"/>
      </w:r>
    </w:p>
    <w:p>
      <w:pPr>
        <w:pStyle w:val="Heading2"/>
      </w:pPr>
      <w:r>
        <w:t xml:space="preserve">Agent architecture</w:t>
      </w:r>
    </w:p>
    <w:p>
      <w:pPr>
        <w:spacing w:after="140" w:line="276"/>
      </w:pPr>
      <w:r>
        <w:t xml:space="preserve">The design uses a supervisor with specialized sub-agents. A lightweight, predictable supervisor routes work to sub-agents — a Researcher, a Writer, and a Reply-Handler — each tuned for one job. This is the architecture leading players converged on after simpler single-agent designs proved unreliable (they fell into loops and produced low-quality output). Adopting it from the start avoids a costly rebuild later.</w:t>
      </w:r>
    </w:p>
    <w:p>
      <w:pPr>
        <w:spacing w:after="140" w:line="276"/>
      </w:pPr>
      <w:r>
        <w:t xml:space="preserve">Three engineering safeguards are built in from the start, because they are the difference between a demo and a real product:</w:t>
      </w:r>
    </w:p>
    <w:p>
      <w:pPr>
        <w:pStyle w:val="ListParagraph"/>
        <w:numPr>
          <w:ilvl w:val="0"/>
          <w:numId w:val="3"/>
        </w:numPr>
        <w:spacing w:after="70" w:line="276"/>
      </w:pPr>
      <w:r>
        <w:rPr>
          <w:b/>
          <w:bCs/>
        </w:rPr>
        <w:t xml:space="preserve">Idempotency. </w:t>
      </w:r>
      <w:r>
        <w:t xml:space="preserve">Jobs that retry must not double-charge data providers or double-email a prospect.</w:t>
      </w:r>
    </w:p>
    <w:p>
      <w:pPr>
        <w:pStyle w:val="ListParagraph"/>
        <w:numPr>
          <w:ilvl w:val="0"/>
          <w:numId w:val="3"/>
        </w:numPr>
        <w:spacing w:after="70" w:line="276"/>
      </w:pPr>
      <w:r>
        <w:rPr>
          <w:b/>
          <w:bCs/>
        </w:rPr>
        <w:t xml:space="preserve">Confidence-gated personalization. </w:t>
      </w:r>
      <w:r>
        <w:t xml:space="preserve">When solid facts about a lead are unavailable, the agent falls back to a safe, generic message instead of inventing details. This directly addresses the AI hallucination problem that makes weak clones look fake and damages sender reputation.</w:t>
      </w:r>
    </w:p>
    <w:p>
      <w:pPr>
        <w:pStyle w:val="ListParagraph"/>
        <w:numPr>
          <w:ilvl w:val="0"/>
          <w:numId w:val="3"/>
        </w:numPr>
        <w:spacing w:after="70" w:line="276"/>
      </w:pPr>
      <w:r>
        <w:rPr>
          <w:b/>
          <w:bCs/>
        </w:rPr>
        <w:t xml:space="preserve">Human-in-the-loop replies. </w:t>
      </w:r>
      <w:r>
        <w:t xml:space="preserve">The reply agent acts autonomously only on a tight allowlist (for example, booking a clearly offered meeting). Everything else escalates to a human, which protects the customer's real relationships.</w:t>
      </w:r>
    </w:p>
    <w:p>
      <w:r>
        <w:br w:type="page"/>
      </w:r>
    </w:p>
    <w:p>
      <w:pPr>
        <w:pStyle w:val="Heading1"/>
      </w:pPr>
      <w:r>
        <w:t xml:space="preserve">5. Phased Delivery Plan</w:t>
      </w:r>
    </w:p>
    <w:p>
      <w:pPr>
        <w:spacing w:after="140" w:line="276"/>
      </w:pPr>
      <w:r>
        <w:t xml:space="preserve">The product is built in phases so that a working, demonstrable version exists early, with quality and autonomy added over time. The timeline assumes one developer using AI-assisted coding. Calendar time is driven partly by email warmup, which cannot be sped up by working faster.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060"/>
      </w:tblGrid>
      <w:tr>
        <w:trPr>
          <w:tblHeader/>
        </w:trPr>
        <w:tc>
          <w:tcPr>
            <w:tcW w:type="dxa" w:w="1900"/>
            <w:tcBorders>
              <w:top w:val="single" w:color="CCCCCC" w:sz="1"/>
              <w:left w:val="single" w:color="CCCCCC" w:sz="1"/>
              <w:bottom w:val="single" w:color="CCCCCC" w:sz="1"/>
              <w:right w:val="single" w:color="CCCCCC" w:sz="1"/>
            </w:tcBorders>
            <w:shd w:fill="33373B" w:val="clear"/>
            <w:tcMar>
              <w:top w:type="dxa" w:w="70"/>
              <w:left w:type="dxa" w:w="120"/>
              <w:bottom w:type="dxa" w:w="70"/>
              <w:right w:type="dxa" w:w="120"/>
            </w:tcMar>
          </w:tcPr>
          <w:p>
            <w:pPr>
              <w:jc w:val="left"/>
            </w:pPr>
            <w:r>
              <w:rPr>
                <w:b/>
                <w:bCs/>
                <w:color w:val="FFFFFF"/>
                <w:sz w:val="20"/>
                <w:szCs w:val="20"/>
              </w:rPr>
              <w:t xml:space="preserve">Phase</w:t>
            </w:r>
          </w:p>
        </w:tc>
        <w:tc>
          <w:tcPr>
            <w:tcW w:type="dxa" w:w="4400"/>
            <w:tcBorders>
              <w:top w:val="single" w:color="CCCCCC" w:sz="1"/>
              <w:left w:val="single" w:color="CCCCCC" w:sz="1"/>
              <w:bottom w:val="single" w:color="CCCCCC" w:sz="1"/>
              <w:right w:val="single" w:color="CCCCCC" w:sz="1"/>
            </w:tcBorders>
            <w:shd w:fill="33373B" w:val="clear"/>
            <w:tcMar>
              <w:top w:type="dxa" w:w="70"/>
              <w:left w:type="dxa" w:w="120"/>
              <w:bottom w:type="dxa" w:w="70"/>
              <w:right w:type="dxa" w:w="120"/>
            </w:tcMar>
          </w:tcPr>
          <w:p>
            <w:pPr>
              <w:jc w:val="left"/>
            </w:pPr>
            <w:r>
              <w:rPr>
                <w:b/>
                <w:bCs/>
                <w:color w:val="FFFFFF"/>
                <w:sz w:val="20"/>
                <w:szCs w:val="20"/>
              </w:rPr>
              <w:t xml:space="preserve">What ships</w:t>
            </w:r>
          </w:p>
        </w:tc>
        <w:tc>
          <w:tcPr>
            <w:tcW w:type="dxa" w:w="3060"/>
            <w:tcBorders>
              <w:top w:val="single" w:color="CCCCCC" w:sz="1"/>
              <w:left w:val="single" w:color="CCCCCC" w:sz="1"/>
              <w:bottom w:val="single" w:color="CCCCCC" w:sz="1"/>
              <w:right w:val="single" w:color="CCCCCC" w:sz="1"/>
            </w:tcBorders>
            <w:shd w:fill="33373B" w:val="clear"/>
            <w:tcMar>
              <w:top w:type="dxa" w:w="70"/>
              <w:left w:type="dxa" w:w="120"/>
              <w:bottom w:type="dxa" w:w="70"/>
              <w:right w:type="dxa" w:w="120"/>
            </w:tcMar>
          </w:tcPr>
          <w:p>
            <w:pPr>
              <w:jc w:val="left"/>
            </w:pPr>
            <w:r>
              <w:rPr>
                <w:b/>
                <w:bCs/>
                <w:color w:val="FFFFFF"/>
                <w:sz w:val="20"/>
                <w:szCs w:val="20"/>
              </w:rPr>
              <w:t xml:space="preserve">Outcome</w:t>
            </w:r>
          </w:p>
        </w:tc>
      </w:tr>
      <w:tr>
        <w:tc>
          <w:tcPr>
            <w:tcW w:type="dxa" w:w="1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bCs/>
                <w:color w:val="1A1A1A"/>
                <w:sz w:val="20"/>
                <w:szCs w:val="20"/>
              </w:rPr>
              <w:t xml:space="preserve">Phase 1 — Foundation</w:t>
            </w:r>
          </w:p>
        </w:tc>
        <w:tc>
          <w:tcPr>
            <w:tcW w:type="dxa" w:w="4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Onboarding, knowledge base, dashboard, lead pull from Apollo, grounded research and writing agents, human review queue</w:t>
            </w:r>
          </w:p>
        </w:tc>
        <w:tc>
          <w:tcPr>
            <w:tcW w:type="dxa" w:w="30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A working demo that looks like the real product</w:t>
            </w:r>
          </w:p>
        </w:tc>
      </w:tr>
      <w:tr>
        <w:tc>
          <w:tcPr>
            <w:tcW w:type="dxa" w:w="19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bCs/>
                <w:color w:val="1A1A1A"/>
                <w:sz w:val="20"/>
                <w:szCs w:val="20"/>
              </w:rPr>
              <w:t xml:space="preserve">Phase 2 — Sending</w:t>
            </w:r>
          </w:p>
        </w:tc>
        <w:tc>
          <w:tcPr>
            <w:tcW w:type="dxa" w:w="4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Smartlead/Instantly integration, sending domains and mailboxes, warmup begun, campaign sequencing, basic analytics</w:t>
            </w:r>
          </w:p>
        </w:tc>
        <w:tc>
          <w:tcPr>
            <w:tcW w:type="dxa" w:w="30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Real emails go out; first pilot campaigns (warmup takes weeks)</w:t>
            </w:r>
          </w:p>
        </w:tc>
      </w:tr>
      <w:tr>
        <w:tc>
          <w:tcPr>
            <w:tcW w:type="dxa" w:w="1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bCs/>
                <w:color w:val="1A1A1A"/>
                <w:sz w:val="20"/>
                <w:szCs w:val="20"/>
              </w:rPr>
              <w:t xml:space="preserve">Phase 3 — Replies</w:t>
            </w:r>
          </w:p>
        </w:tc>
        <w:tc>
          <w:tcPr>
            <w:tcW w:type="dxa" w:w="4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Reply classification, objection handling, meeting booking, escalation rules</w:t>
            </w:r>
          </w:p>
        </w:tc>
        <w:tc>
          <w:tcPr>
            <w:tcW w:type="dxa" w:w="30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Closes the loop end to end; books meetings</w:t>
            </w:r>
          </w:p>
        </w:tc>
      </w:tr>
      <w:tr>
        <w:tc>
          <w:tcPr>
            <w:tcW w:type="dxa" w:w="19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bCs/>
                <w:color w:val="1A1A1A"/>
                <w:sz w:val="20"/>
                <w:szCs w:val="20"/>
              </w:rPr>
              <w:t xml:space="preserve">Phase 4 — Depth</w:t>
            </w:r>
          </w:p>
        </w:tc>
        <w:tc>
          <w:tcPr>
            <w:tcW w:type="dxa" w:w="4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Intent signals, A/B optimization, CRM sync, autopilot mode, compliance hardening</w:t>
            </w:r>
          </w:p>
        </w:tc>
        <w:tc>
          <w:tcPr>
            <w:tcW w:type="dxa" w:w="30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Approaches feature parity; ready for broader launch</w:t>
            </w:r>
          </w:p>
        </w:tc>
      </w:tr>
    </w:tbl>
    <w:p>
      <w:pPr>
        <w:spacing w:after="60"/>
      </w:pPr>
      <w:r>
        <w:t xml:space="preserve"/>
      </w:r>
    </w:p>
    <w:p>
      <w:pPr>
        <w:spacing w:after="140" w:line="276"/>
      </w:pPr>
      <w:r>
        <w:rPr>
          <w:b/>
          <w:bCs/>
        </w:rPr>
        <w:t xml:space="preserve">Note: </w:t>
      </w:r>
      <w:r>
        <w:t xml:space="preserve">"Demo-ready" (Phase 1) and "ready to launch to paying customers" (Phase 3–4) are different milestones. The gap between them is mostly email warmup time, reply-handling reliability, and compliance — not coding speed.</w:t>
      </w:r>
    </w:p>
    <w:p>
      <w:r>
        <w:br w:type="page"/>
      </w:r>
    </w:p>
    <w:p>
      <w:pPr>
        <w:pStyle w:val="Heading1"/>
      </w:pPr>
      <w:r>
        <w:t xml:space="preserve">6. The Realistic Ceiling</w:t>
      </w:r>
    </w:p>
    <w:p>
      <w:pPr>
        <w:spacing w:after="140" w:line="276"/>
      </w:pPr>
      <w:r>
        <w:t xml:space="preserve">The plan targets the maximum possible replica. However, matching Artisan exactly as it is today is not achievable for a new team at any reasonable budget. Artisan's current strength is the product of roughly three years of accumulated time, data, and reputation — none of which can be reproduced by writing code faster or spending more money. The constraints fall into two groups.</w:t>
      </w:r>
    </w:p>
    <w:p>
      <w:pPr>
        <w:pStyle w:val="Heading2"/>
      </w:pPr>
      <w:r>
        <w:t xml:space="preserve">Group A — What can be replicated (~85–90%)</w:t>
      </w:r>
    </w:p>
    <w:p>
      <w:pPr>
        <w:pStyle w:val="ListParagraph"/>
        <w:numPr>
          <w:ilvl w:val="0"/>
          <w:numId w:val="2"/>
        </w:numPr>
        <w:spacing w:after="70" w:line="276"/>
      </w:pPr>
      <w:r>
        <w:t xml:space="preserve">The website, dashboard, and overall user experience</w:t>
      </w:r>
    </w:p>
    <w:p>
      <w:pPr>
        <w:pStyle w:val="ListParagraph"/>
        <w:numPr>
          <w:ilvl w:val="0"/>
          <w:numId w:val="2"/>
        </w:numPr>
        <w:spacing w:after="70" w:line="276"/>
      </w:pPr>
      <w:r>
        <w:t xml:space="preserve">The onboarding flow and company knowledge base</w:t>
      </w:r>
    </w:p>
    <w:p>
      <w:pPr>
        <w:pStyle w:val="ListParagraph"/>
        <w:numPr>
          <w:ilvl w:val="0"/>
          <w:numId w:val="2"/>
        </w:numPr>
        <w:spacing w:after="70" w:line="276"/>
      </w:pPr>
      <w:r>
        <w:t xml:space="preserve">Lead discovery and enrichment (via rented data)</w:t>
      </w:r>
    </w:p>
    <w:p>
      <w:pPr>
        <w:pStyle w:val="ListParagraph"/>
        <w:numPr>
          <w:ilvl w:val="0"/>
          <w:numId w:val="2"/>
        </w:numPr>
        <w:spacing w:after="70" w:line="276"/>
      </w:pPr>
      <w:r>
        <w:t xml:space="preserve">The research, writing, and reply agents (the full agent workflow)</w:t>
      </w:r>
    </w:p>
    <w:p>
      <w:pPr>
        <w:pStyle w:val="ListParagraph"/>
        <w:numPr>
          <w:ilvl w:val="0"/>
          <w:numId w:val="2"/>
        </w:numPr>
        <w:spacing w:after="70" w:line="276"/>
      </w:pPr>
      <w:r>
        <w:t xml:space="preserve">Campaign sequencing, A/B testing, and analytics</w:t>
      </w:r>
    </w:p>
    <w:p>
      <w:pPr>
        <w:pStyle w:val="ListParagraph"/>
        <w:numPr>
          <w:ilvl w:val="0"/>
          <w:numId w:val="2"/>
        </w:numPr>
        <w:spacing w:after="70" w:line="276"/>
      </w:pPr>
      <w:r>
        <w:t xml:space="preserve">Meeting booking and CRM sync</w:t>
      </w:r>
    </w:p>
    <w:p>
      <w:pPr>
        <w:spacing w:after="140" w:line="276"/>
      </w:pPr>
      <w:r>
        <w:rPr>
          <w:i/>
          <w:iCs/>
        </w:rPr>
        <w:t xml:space="preserve">In a demo, the replica will look and behave like Artisan.</w:t>
      </w:r>
    </w:p>
    <w:p>
      <w:pPr>
        <w:pStyle w:val="Heading2"/>
      </w:pPr>
      <w:r>
        <w:t xml:space="preserve">Group B — What cannot be matched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400"/>
        <w:gridCol w:w="2860"/>
      </w:tblGrid>
      <w:tr>
        <w:trPr>
          <w:tblHeader/>
        </w:trPr>
        <w:tc>
          <w:tcPr>
            <w:tcW w:type="dxa" w:w="2100"/>
            <w:tcBorders>
              <w:top w:val="single" w:color="CCCCCC" w:sz="1"/>
              <w:left w:val="single" w:color="CCCCCC" w:sz="1"/>
              <w:bottom w:val="single" w:color="CCCCCC" w:sz="1"/>
              <w:right w:val="single" w:color="CCCCCC" w:sz="1"/>
            </w:tcBorders>
            <w:shd w:fill="33373B" w:val="clear"/>
            <w:tcMar>
              <w:top w:type="dxa" w:w="70"/>
              <w:left w:type="dxa" w:w="120"/>
              <w:bottom w:type="dxa" w:w="70"/>
              <w:right w:type="dxa" w:w="120"/>
            </w:tcMar>
          </w:tcPr>
          <w:p>
            <w:pPr>
              <w:jc w:val="left"/>
            </w:pPr>
            <w:r>
              <w:rPr>
                <w:b/>
                <w:bCs/>
                <w:color w:val="FFFFFF"/>
                <w:sz w:val="20"/>
                <w:szCs w:val="20"/>
              </w:rPr>
              <w:t xml:space="preserve">Constraint</w:t>
            </w:r>
          </w:p>
        </w:tc>
        <w:tc>
          <w:tcPr>
            <w:tcW w:type="dxa" w:w="4400"/>
            <w:tcBorders>
              <w:top w:val="single" w:color="CCCCCC" w:sz="1"/>
              <w:left w:val="single" w:color="CCCCCC" w:sz="1"/>
              <w:bottom w:val="single" w:color="CCCCCC" w:sz="1"/>
              <w:right w:val="single" w:color="CCCCCC" w:sz="1"/>
            </w:tcBorders>
            <w:shd w:fill="33373B" w:val="clear"/>
            <w:tcMar>
              <w:top w:type="dxa" w:w="70"/>
              <w:left w:type="dxa" w:w="120"/>
              <w:bottom w:type="dxa" w:w="70"/>
              <w:right w:type="dxa" w:w="120"/>
            </w:tcMar>
          </w:tcPr>
          <w:p>
            <w:pPr>
              <w:jc w:val="left"/>
            </w:pPr>
            <w:r>
              <w:rPr>
                <w:b/>
                <w:bCs/>
                <w:color w:val="FFFFFF"/>
                <w:sz w:val="20"/>
                <w:szCs w:val="20"/>
              </w:rPr>
              <w:t xml:space="preserve">Why it cannot be matched quickly</w:t>
            </w:r>
          </w:p>
        </w:tc>
        <w:tc>
          <w:tcPr>
            <w:tcW w:type="dxa" w:w="2860"/>
            <w:tcBorders>
              <w:top w:val="single" w:color="CCCCCC" w:sz="1"/>
              <w:left w:val="single" w:color="CCCCCC" w:sz="1"/>
              <w:bottom w:val="single" w:color="CCCCCC" w:sz="1"/>
              <w:right w:val="single" w:color="CCCCCC" w:sz="1"/>
            </w:tcBorders>
            <w:shd w:fill="33373B" w:val="clear"/>
            <w:tcMar>
              <w:top w:type="dxa" w:w="70"/>
              <w:left w:type="dxa" w:w="120"/>
              <w:bottom w:type="dxa" w:w="70"/>
              <w:right w:type="dxa" w:w="120"/>
            </w:tcMar>
          </w:tcPr>
          <w:p>
            <w:pPr>
              <w:jc w:val="left"/>
            </w:pPr>
            <w:r>
              <w:rPr>
                <w:b/>
                <w:bCs/>
                <w:color w:val="FFFFFF"/>
                <w:sz w:val="20"/>
                <w:szCs w:val="20"/>
              </w:rPr>
              <w:t xml:space="preserve">Position vs. Artisan</w:t>
            </w:r>
          </w:p>
        </w:tc>
      </w:tr>
      <w:tr>
        <w:tc>
          <w:tcPr>
            <w:tcW w:type="dxa" w:w="21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Lead database quality</w:t>
            </w:r>
          </w:p>
        </w:tc>
        <w:tc>
          <w:tcPr>
            <w:tcW w:type="dxa" w:w="4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Their proprietary database took years and significant investment to build. Rented data inherits the provider's accuracy ceiling (15–35% bounce rates are common).</w:t>
            </w:r>
          </w:p>
        </w:tc>
        <w:tc>
          <w:tcPr>
            <w:tcW w:type="dxa" w:w="28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Approximate only — structurally weaker, thinner margins</w:t>
            </w:r>
          </w:p>
        </w:tc>
      </w:tr>
      <w:tr>
        <w:tc>
          <w:tcPr>
            <w:tcW w:type="dxa" w:w="21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Email deliverability / inbox placement</w:t>
            </w:r>
          </w:p>
        </w:tc>
        <w:tc>
          <w:tcPr>
            <w:tcW w:type="dxa" w:w="4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Sender reputation is earned per domain over calendar time. New domains start cold; no budget makes a 3-week-old domain perform like a 2-year-old one.</w:t>
            </w:r>
          </w:p>
        </w:tc>
        <w:tc>
          <w:tcPr>
            <w:tcW w:type="dxa" w:w="28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Worse for the first several months; improves with age</w:t>
            </w:r>
          </w:p>
        </w:tc>
      </w:tr>
      <w:tr>
        <w:tc>
          <w:tcPr>
            <w:tcW w:type="dxa" w:w="21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Personalization quality (reply rates)</w:t>
            </w:r>
          </w:p>
        </w:tc>
        <w:tc>
          <w:tcPr>
            <w:tcW w:type="dxa" w:w="4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Their prompts are tuned against real reply data from many customers over years. The replica starts with no outcome data.</w:t>
            </w:r>
          </w:p>
        </w:tc>
        <w:tc>
          <w:tcPr>
            <w:tcW w:type="dxa" w:w="28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Same mechanism, lower reply rate until data accumulates</w:t>
            </w:r>
          </w:p>
        </w:tc>
      </w:tr>
      <w:tr>
        <w:tc>
          <w:tcPr>
            <w:tcW w:type="dxa" w:w="21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Self-learning loop</w:t>
            </w:r>
          </w:p>
        </w:tc>
        <w:tc>
          <w:tcPr>
            <w:tcW w:type="dxa" w:w="4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Optimization compounds on aggregate customer data. A new product has none on day one.</w:t>
            </w:r>
          </w:p>
        </w:tc>
        <w:tc>
          <w:tcPr>
            <w:tcW w:type="dxa" w:w="28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Machinery present, but starts empty</w:t>
            </w:r>
          </w:p>
        </w:tc>
      </w:tr>
      <w:tr>
        <w:tc>
          <w:tcPr>
            <w:tcW w:type="dxa" w:w="21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Trust scaffolding (SOC 2, case studies, press)</w:t>
            </w:r>
          </w:p>
        </w:tc>
        <w:tc>
          <w:tcPr>
            <w:tcW w:type="dxa" w:w="4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SOC 2 Type 2 requires a 6–12 month observation period; case studies require real results over time.</w:t>
            </w:r>
          </w:p>
        </w:tc>
        <w:tc>
          <w:tcPr>
            <w:tcW w:type="dxa" w:w="28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Months-to-years gap; limits enterprise sales</w:t>
            </w:r>
          </w:p>
        </w:tc>
      </w:tr>
      <w:tr>
        <w:tc>
          <w:tcPr>
            <w:tcW w:type="dxa" w:w="21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Reply handling on edge cases</w:t>
            </w:r>
          </w:p>
        </w:tc>
        <w:tc>
          <w:tcPr>
            <w:tcW w:type="dxa" w:w="4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The difficult middle of replies is tuned over thousands of real conversations.</w:t>
            </w:r>
          </w:p>
        </w:tc>
        <w:tc>
          <w:tcPr>
            <w:tcW w:type="dxa" w:w="28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Handles easy replies fast; weaker on hard ones until matured</w:t>
            </w:r>
          </w:p>
        </w:tc>
      </w:tr>
    </w:tbl>
    <w:p>
      <w:pPr>
        <w:spacing w:after="60"/>
      </w:pPr>
      <w:r>
        <w:t xml:space="preserve"/>
      </w:r>
    </w:p>
    <w:p>
      <w:pPr>
        <w:spacing w:after="140" w:line="276"/>
      </w:pPr>
      <w:r>
        <w:rPr>
          <w:b/>
          <w:bCs/>
        </w:rPr>
        <w:t xml:space="preserve">The pattern: </w:t>
      </w:r>
      <w:r>
        <w:t xml:space="preserve">everything that cannot be replicated is made of time, accumulated data, and earned reputation — not software. The software is the controllable part and can be matched. The compounded advantages are what make Artisan perform the way it does today, and those close only with time in market.</w:t>
      </w:r>
    </w:p>
    <w:p>
      <w:pPr>
        <w:pStyle w:val="Heading3"/>
      </w:pPr>
      <w:r>
        <w:t xml:space="preserve">Realistic target</w:t>
      </w:r>
    </w:p>
    <w:p>
      <w:pPr>
        <w:spacing w:after="140" w:line="276"/>
      </w:pPr>
      <w:r>
        <w:rPr>
          <w:b/>
          <w:bCs/>
        </w:rPr>
        <w:t xml:space="preserve">Feature / UX parity: </w:t>
      </w:r>
      <w:r>
        <w:t xml:space="preserve">~85–90%.  </w:t>
      </w:r>
      <w:r>
        <w:rPr>
          <w:b/>
          <w:bCs/>
        </w:rPr>
        <w:t xml:space="preserve">Performance parity at launch: </w:t>
      </w:r>
      <w:r>
        <w:t xml:space="preserve">~60–75%, rising over time as domains age and outcome data accumulates.</w:t>
      </w:r>
    </w:p>
    <w:p>
      <w:r>
        <w:br w:type="page"/>
      </w:r>
    </w:p>
    <w:p>
      <w:pPr>
        <w:pStyle w:val="Heading1"/>
      </w:pPr>
      <w:r>
        <w:t xml:space="preserve">7. Cost Plan</w:t>
      </w:r>
    </w:p>
    <w:p>
      <w:pPr>
        <w:spacing w:after="140" w:line="276"/>
      </w:pPr>
      <w:r>
        <w:t xml:space="preserve">Costs separate into two questions that are often confused: what it costs to run the product, and what it costs per customer. The plan keeps spend low by renting the expensive components, routing AI work to the cheapest capable model, and filtering out poor-quality leads before spending money on them.</w:t>
      </w:r>
    </w:p>
    <w:p>
      <w:pPr>
        <w:spacing w:after="140" w:line="276"/>
      </w:pPr>
      <w:r>
        <w:rPr>
          <w:b/>
          <w:bCs/>
        </w:rPr>
        <w:t xml:space="preserve">Note: </w:t>
      </w:r>
      <w:r>
        <w:t xml:space="preserve">the development subscription is excluded from these figures. It is a fixed development tool, not a product running cost.</w:t>
      </w:r>
    </w:p>
    <w:p>
      <w:pPr>
        <w:pStyle w:val="Heading2"/>
      </w:pPr>
      <w:r>
        <w:t xml:space="preserve">Monthly running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900"/>
        <w:gridCol w:w="3260"/>
      </w:tblGrid>
      <w:tr>
        <w:trPr>
          <w:tblHeader/>
        </w:trPr>
        <w:tc>
          <w:tcPr>
            <w:tcW w:type="dxa" w:w="2500"/>
            <w:tcBorders>
              <w:top w:val="single" w:color="CCCCCC" w:sz="1"/>
              <w:left w:val="single" w:color="CCCCCC" w:sz="1"/>
              <w:bottom w:val="single" w:color="CCCCCC" w:sz="1"/>
              <w:right w:val="single" w:color="CCCCCC" w:sz="1"/>
            </w:tcBorders>
            <w:shd w:fill="33373B" w:val="clear"/>
            <w:tcMar>
              <w:top w:type="dxa" w:w="70"/>
              <w:left w:type="dxa" w:w="120"/>
              <w:bottom w:type="dxa" w:w="70"/>
              <w:right w:type="dxa" w:w="120"/>
            </w:tcMar>
          </w:tcPr>
          <w:p>
            <w:pPr>
              <w:jc w:val="left"/>
            </w:pPr>
            <w:r>
              <w:rPr>
                <w:b/>
                <w:bCs/>
                <w:color w:val="FFFFFF"/>
                <w:sz w:val="20"/>
                <w:szCs w:val="20"/>
              </w:rPr>
              <w:t xml:space="preserve">Cost bucket</w:t>
            </w:r>
          </w:p>
        </w:tc>
        <w:tc>
          <w:tcPr>
            <w:tcW w:type="dxa" w:w="1700"/>
            <w:tcBorders>
              <w:top w:val="single" w:color="CCCCCC" w:sz="1"/>
              <w:left w:val="single" w:color="CCCCCC" w:sz="1"/>
              <w:bottom w:val="single" w:color="CCCCCC" w:sz="1"/>
              <w:right w:val="single" w:color="CCCCCC" w:sz="1"/>
            </w:tcBorders>
            <w:shd w:fill="33373B" w:val="clear"/>
            <w:tcMar>
              <w:top w:type="dxa" w:w="70"/>
              <w:left w:type="dxa" w:w="120"/>
              <w:bottom w:type="dxa" w:w="70"/>
              <w:right w:type="dxa" w:w="120"/>
            </w:tcMar>
          </w:tcPr>
          <w:p>
            <w:pPr>
              <w:jc w:val="left"/>
            </w:pPr>
            <w:r>
              <w:rPr>
                <w:b/>
                <w:bCs/>
                <w:color w:val="FFFFFF"/>
                <w:sz w:val="20"/>
                <w:szCs w:val="20"/>
              </w:rPr>
              <w:t xml:space="preserve">Pilot scale</w:t>
            </w:r>
          </w:p>
        </w:tc>
        <w:tc>
          <w:tcPr>
            <w:tcW w:type="dxa" w:w="1900"/>
            <w:tcBorders>
              <w:top w:val="single" w:color="CCCCCC" w:sz="1"/>
              <w:left w:val="single" w:color="CCCCCC" w:sz="1"/>
              <w:bottom w:val="single" w:color="CCCCCC" w:sz="1"/>
              <w:right w:val="single" w:color="CCCCCC" w:sz="1"/>
            </w:tcBorders>
            <w:shd w:fill="33373B" w:val="clear"/>
            <w:tcMar>
              <w:top w:type="dxa" w:w="70"/>
              <w:left w:type="dxa" w:w="120"/>
              <w:bottom w:type="dxa" w:w="70"/>
              <w:right w:type="dxa" w:w="120"/>
            </w:tcMar>
          </w:tcPr>
          <w:p>
            <w:pPr>
              <w:jc w:val="left"/>
            </w:pPr>
            <w:r>
              <w:rPr>
                <w:b/>
                <w:bCs/>
                <w:color w:val="FFFFFF"/>
                <w:sz w:val="20"/>
                <w:szCs w:val="20"/>
              </w:rPr>
              <w:t xml:space="preserve">Serious scale</w:t>
            </w:r>
          </w:p>
        </w:tc>
        <w:tc>
          <w:tcPr>
            <w:tcW w:type="dxa" w:w="3260"/>
            <w:tcBorders>
              <w:top w:val="single" w:color="CCCCCC" w:sz="1"/>
              <w:left w:val="single" w:color="CCCCCC" w:sz="1"/>
              <w:bottom w:val="single" w:color="CCCCCC" w:sz="1"/>
              <w:right w:val="single" w:color="CCCCCC" w:sz="1"/>
            </w:tcBorders>
            <w:shd w:fill="33373B" w:val="clear"/>
            <w:tcMar>
              <w:top w:type="dxa" w:w="70"/>
              <w:left w:type="dxa" w:w="120"/>
              <w:bottom w:type="dxa" w:w="70"/>
              <w:right w:type="dxa" w:w="120"/>
            </w:tcMar>
          </w:tcPr>
          <w:p>
            <w:pPr>
              <w:jc w:val="left"/>
            </w:pPr>
            <w:r>
              <w:rPr>
                <w:b/>
                <w:bCs/>
                <w:color w:val="FFFFFF"/>
                <w:sz w:val="20"/>
                <w:szCs w:val="20"/>
              </w:rPr>
              <w:t xml:space="preserve">Can it be reduced?</w:t>
            </w:r>
          </w:p>
        </w:tc>
      </w:tr>
      <w:tr>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AI model APIs (product runtime)</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$50–$400</w:t>
            </w:r>
          </w:p>
        </w:tc>
        <w:tc>
          <w:tcPr>
            <w:tcW w:type="dxa" w:w="1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$500–$2,000</w:t>
            </w:r>
          </w:p>
        </w:tc>
        <w:tc>
          <w:tcPr>
            <w:tcW w:type="dxa" w:w="32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Yes — cheapest bucket; routing, caching, and batching cut 40–90%</w:t>
            </w:r>
          </w:p>
        </w:tc>
      </w:tr>
      <w:tr>
        <w:tc>
          <w:tcPr>
            <w:tcW w:type="dxa" w:w="25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Contact data + enrichment</w:t>
            </w:r>
          </w:p>
        </w:tc>
        <w:tc>
          <w:tcPr>
            <w:tcW w:type="dxa" w:w="17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$150–$500</w:t>
            </w:r>
          </w:p>
        </w:tc>
        <w:tc>
          <w:tcPr>
            <w:tcW w:type="dxa" w:w="19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$1,000–$5,000+</w:t>
            </w:r>
          </w:p>
        </w:tc>
        <w:tc>
          <w:tcPr>
            <w:tcW w:type="dxa" w:w="32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Hard floor (rented); filter cheaply before enriching</w:t>
            </w:r>
          </w:p>
        </w:tc>
      </w:tr>
      <w:tr>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Email sending + warmup tools</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$50–$200</w:t>
            </w:r>
          </w:p>
        </w:tc>
        <w:tc>
          <w:tcPr>
            <w:tcW w:type="dxa" w:w="1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$500–$3,000</w:t>
            </w:r>
          </w:p>
        </w:tc>
        <w:tc>
          <w:tcPr>
            <w:tcW w:type="dxa" w:w="32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Hard floor (rented)</w:t>
            </w:r>
          </w:p>
        </w:tc>
      </w:tr>
      <w:tr>
        <w:tc>
          <w:tcPr>
            <w:tcW w:type="dxa" w:w="25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Mailboxes + sending domains</w:t>
            </w:r>
          </w:p>
        </w:tc>
        <w:tc>
          <w:tcPr>
            <w:tcW w:type="dxa" w:w="17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$50–$200</w:t>
            </w:r>
          </w:p>
        </w:tc>
        <w:tc>
          <w:tcPr>
            <w:tcW w:type="dxa" w:w="19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$200–$1,000</w:t>
            </w:r>
          </w:p>
        </w:tc>
        <w:tc>
          <w:tcPr>
            <w:tcW w:type="dxa" w:w="32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Scales with sending volume</w:t>
            </w:r>
          </w:p>
        </w:tc>
      </w:tr>
      <w:tr>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Infrastructure (DB, hosting, queue)</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$50–$150</w:t>
            </w:r>
          </w:p>
        </w:tc>
        <w:tc>
          <w:tcPr>
            <w:tcW w:type="dxa" w:w="1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$200–$500</w:t>
            </w:r>
          </w:p>
        </w:tc>
        <w:tc>
          <w:tcPr>
            <w:tcW w:type="dxa" w:w="32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Minimal; mostly fixed</w:t>
            </w:r>
          </w:p>
        </w:tc>
      </w:tr>
      <w:tr>
        <w:tc>
          <w:tcPr>
            <w:tcW w:type="dxa" w:w="25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bCs/>
                <w:color w:val="1A1A1A"/>
                <w:sz w:val="20"/>
                <w:szCs w:val="20"/>
              </w:rPr>
              <w:t xml:space="preserve">Total</w:t>
            </w:r>
          </w:p>
        </w:tc>
        <w:tc>
          <w:tcPr>
            <w:tcW w:type="dxa" w:w="17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bCs/>
                <w:color w:val="1A1A1A"/>
                <w:sz w:val="20"/>
                <w:szCs w:val="20"/>
              </w:rPr>
              <w:t xml:space="preserve">~$500–$1,500</w:t>
            </w:r>
          </w:p>
        </w:tc>
        <w:tc>
          <w:tcPr>
            <w:tcW w:type="dxa" w:w="19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bCs/>
                <w:color w:val="1A1A1A"/>
                <w:sz w:val="20"/>
                <w:szCs w:val="20"/>
              </w:rPr>
              <w:t xml:space="preserve">~$3,000–$10,000+</w:t>
            </w:r>
          </w:p>
        </w:tc>
        <w:tc>
          <w:tcPr>
            <w:tcW w:type="dxa" w:w="32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
            </w:r>
          </w:p>
        </w:tc>
      </w:tr>
    </w:tbl>
    <w:p>
      <w:pPr>
        <w:spacing w:after="60"/>
      </w:pPr>
      <w:r>
        <w:t xml:space="preserve"/>
      </w:r>
    </w:p>
    <w:p>
      <w:pPr>
        <w:spacing w:after="140" w:line="276"/>
      </w:pPr>
      <w:r>
        <w:t xml:space="preserve">The key budgeting insight: the AI — the part that feels expensive — is the smallest and most controllable line item. The real spend is data and email infrastructure. That is why Artisan charges roughly $1,500–$2,000 per customer per month: the price covers data and deliverability costs plus margin.</w:t>
      </w:r>
    </w:p>
    <w:p>
      <w:pPr>
        <w:pStyle w:val="Heading2"/>
      </w:pPr>
      <w:r>
        <w:t xml:space="preserve">Cost-minimization measures</w:t>
      </w:r>
    </w:p>
    <w:p>
      <w:pPr>
        <w:pStyle w:val="ListParagraph"/>
        <w:numPr>
          <w:ilvl w:val="0"/>
          <w:numId w:val="2"/>
        </w:numPr>
        <w:spacing w:after="70" w:line="276"/>
      </w:pPr>
      <w:r>
        <w:rPr>
          <w:b/>
          <w:bCs/>
        </w:rPr>
        <w:t xml:space="preserve">Model routing: </w:t>
      </w:r>
      <w:r>
        <w:t xml:space="preserve">cheap models for classification, extraction, and routing; a stronger model only for the final customer-facing email.</w:t>
      </w:r>
    </w:p>
    <w:p>
      <w:pPr>
        <w:pStyle w:val="ListParagraph"/>
        <w:numPr>
          <w:ilvl w:val="0"/>
          <w:numId w:val="2"/>
        </w:numPr>
        <w:spacing w:after="70" w:line="276"/>
      </w:pPr>
      <w:r>
        <w:rPr>
          <w:b/>
          <w:bCs/>
        </w:rPr>
        <w:t xml:space="preserve">Prompt caching: </w:t>
      </w:r>
      <w:r>
        <w:t xml:space="preserve">the per-customer knowledge base is reused on every lead and cached, cutting roughly 90% off that portion of token cost.</w:t>
      </w:r>
    </w:p>
    <w:p>
      <w:pPr>
        <w:pStyle w:val="ListParagraph"/>
        <w:numPr>
          <w:ilvl w:val="0"/>
          <w:numId w:val="2"/>
        </w:numPr>
        <w:spacing w:after="70" w:line="276"/>
      </w:pPr>
      <w:r>
        <w:rPr>
          <w:b/>
          <w:bCs/>
        </w:rPr>
        <w:t xml:space="preserve">Batch processing: </w:t>
      </w:r>
      <w:r>
        <w:t xml:space="preserve">non-real-time work runs through batch APIs at roughly 50% off.</w:t>
      </w:r>
    </w:p>
    <w:p>
      <w:pPr>
        <w:pStyle w:val="ListParagraph"/>
        <w:numPr>
          <w:ilvl w:val="0"/>
          <w:numId w:val="2"/>
        </w:numPr>
        <w:spacing w:after="70" w:line="276"/>
      </w:pPr>
      <w:r>
        <w:rPr>
          <w:b/>
          <w:bCs/>
        </w:rPr>
        <w:t xml:space="preserve">Filter before spending: </w:t>
      </w:r>
      <w:r>
        <w:t xml:space="preserve">verify and qualify leads with cheap checks first; spend full enrichment and premium AI only on leads that survive. This is the single biggest lever on unit cost.</w:t>
      </w:r>
    </w:p>
    <w:p>
      <w:pPr>
        <w:pStyle w:val="ListParagraph"/>
        <w:numPr>
          <w:ilvl w:val="0"/>
          <w:numId w:val="2"/>
        </w:numPr>
        <w:spacing w:after="70" w:line="276"/>
      </w:pPr>
      <w:r>
        <w:rPr>
          <w:b/>
          <w:bCs/>
        </w:rPr>
        <w:t xml:space="preserve">Rent, do not build: </w:t>
      </w:r>
      <w:r>
        <w:t xml:space="preserve">no spend on building a contact database or sending infrastructure.</w:t>
      </w:r>
    </w:p>
    <w:p>
      <w:pPr>
        <w:spacing w:after="60"/>
      </w:pPr>
      <w:r>
        <w:t xml:space="preserve"/>
      </w:r>
    </w:p>
    <w:p>
      <w:pPr>
        <w:spacing w:after="140" w:line="276"/>
      </w:pPr>
      <w:r>
        <w:rPr>
          <w:b/>
          <w:bCs/>
        </w:rPr>
        <w:t xml:space="preserve">Unit-economics note: </w:t>
      </w:r>
      <w:r>
        <w:t xml:space="preserve">because the data and email components are rented rather than owned, cost per customer will always be somewhat higher than Artisan's. The product can launch cheaply, but matching their margins would eventually require building the same infrastructure. That is a later-stage decision, not a launch concern.</w:t>
      </w:r>
    </w:p>
    <w:p>
      <w:r>
        <w:br w:type="page"/>
      </w:r>
    </w:p>
    <w:p>
      <w:pPr>
        <w:pStyle w:val="Heading1"/>
      </w:pPr>
      <w:r>
        <w:t xml:space="preserve">8. Key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060"/>
      </w:tblGrid>
      <w:tr>
        <w:trPr>
          <w:tblHeader/>
        </w:trPr>
        <w:tc>
          <w:tcPr>
            <w:tcW w:type="dxa" w:w="2400"/>
            <w:tcBorders>
              <w:top w:val="single" w:color="CCCCCC" w:sz="1"/>
              <w:left w:val="single" w:color="CCCCCC" w:sz="1"/>
              <w:bottom w:val="single" w:color="CCCCCC" w:sz="1"/>
              <w:right w:val="single" w:color="CCCCCC" w:sz="1"/>
            </w:tcBorders>
            <w:shd w:fill="33373B" w:val="clear"/>
            <w:tcMar>
              <w:top w:type="dxa" w:w="70"/>
              <w:left w:type="dxa" w:w="120"/>
              <w:bottom w:type="dxa" w:w="70"/>
              <w:right w:type="dxa" w:w="120"/>
            </w:tcMar>
          </w:tcPr>
          <w:p>
            <w:pPr>
              <w:jc w:val="left"/>
            </w:pPr>
            <w:r>
              <w:rPr>
                <w:b/>
                <w:bCs/>
                <w:color w:val="FFFFFF"/>
                <w:sz w:val="20"/>
                <w:szCs w:val="20"/>
              </w:rPr>
              <w:t xml:space="preserve">Risk</w:t>
            </w:r>
          </w:p>
        </w:tc>
        <w:tc>
          <w:tcPr>
            <w:tcW w:type="dxa" w:w="2900"/>
            <w:tcBorders>
              <w:top w:val="single" w:color="CCCCCC" w:sz="1"/>
              <w:left w:val="single" w:color="CCCCCC" w:sz="1"/>
              <w:bottom w:val="single" w:color="CCCCCC" w:sz="1"/>
              <w:right w:val="single" w:color="CCCCCC" w:sz="1"/>
            </w:tcBorders>
            <w:shd w:fill="33373B" w:val="clear"/>
            <w:tcMar>
              <w:top w:type="dxa" w:w="70"/>
              <w:left w:type="dxa" w:w="120"/>
              <w:bottom w:type="dxa" w:w="70"/>
              <w:right w:type="dxa" w:w="120"/>
            </w:tcMar>
          </w:tcPr>
          <w:p>
            <w:pPr>
              <w:jc w:val="left"/>
            </w:pPr>
            <w:r>
              <w:rPr>
                <w:b/>
                <w:bCs/>
                <w:color w:val="FFFFFF"/>
                <w:sz w:val="20"/>
                <w:szCs w:val="20"/>
              </w:rPr>
              <w:t xml:space="preserve">Impact</w:t>
            </w:r>
          </w:p>
        </w:tc>
        <w:tc>
          <w:tcPr>
            <w:tcW w:type="dxa" w:w="4060"/>
            <w:tcBorders>
              <w:top w:val="single" w:color="CCCCCC" w:sz="1"/>
              <w:left w:val="single" w:color="CCCCCC" w:sz="1"/>
              <w:bottom w:val="single" w:color="CCCCCC" w:sz="1"/>
              <w:right w:val="single" w:color="CCCCCC" w:sz="1"/>
            </w:tcBorders>
            <w:shd w:fill="33373B" w:val="clear"/>
            <w:tcMar>
              <w:top w:type="dxa" w:w="70"/>
              <w:left w:type="dxa" w:w="120"/>
              <w:bottom w:type="dxa" w:w="70"/>
              <w:right w:type="dxa" w:w="120"/>
            </w:tcMar>
          </w:tcPr>
          <w:p>
            <w:pPr>
              <w:jc w:val="left"/>
            </w:pPr>
            <w:r>
              <w:rPr>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Emails land in spam</w:t>
            </w:r>
          </w:p>
        </w:tc>
        <w:tc>
          <w:tcPr>
            <w:tcW w:type="dxa" w:w="2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Product appears broken; zero replies</w:t>
            </w:r>
          </w:p>
        </w:tc>
        <w:tc>
          <w:tcPr>
            <w:tcW w:type="dxa" w:w="40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Rent Smartlead/Instantly; allow weeks for warmup; monitor reputation continuously</w:t>
            </w:r>
          </w:p>
        </w:tc>
      </w:tr>
      <w:tr>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AI invents false details about leads</w:t>
            </w:r>
          </w:p>
        </w:tc>
        <w:tc>
          <w:tcPr>
            <w:tcW w:type="dxa" w:w="29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Embarrassing outreach; damaged reputation</w:t>
            </w:r>
          </w:p>
        </w:tc>
        <w:tc>
          <w:tcPr>
            <w:tcW w:type="dxa" w:w="40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Confidence-gated personalization; ground every claim in retrieved facts</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Reply agent mishandles a real prospect</w:t>
            </w:r>
          </w:p>
        </w:tc>
        <w:tc>
          <w:tcPr>
            <w:tcW w:type="dxa" w:w="2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Damages customer relationships; legal exposure</w:t>
            </w:r>
          </w:p>
        </w:tc>
        <w:tc>
          <w:tcPr>
            <w:tcW w:type="dxa" w:w="40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Human-review first; tight autonomy allowlist; escalation rules</w:t>
            </w:r>
          </w:p>
        </w:tc>
      </w:tr>
      <w:tr>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Rented data is inaccurate</w:t>
            </w:r>
          </w:p>
        </w:tc>
        <w:tc>
          <w:tcPr>
            <w:tcW w:type="dxa" w:w="29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Bounces and wasted spend</w:t>
            </w:r>
          </w:p>
        </w:tc>
        <w:tc>
          <w:tcPr>
            <w:tcW w:type="dxa" w:w="40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Email verification before sending; filter low-quality leads early</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Compliance (CAN-SPAM, GDPR, opt-outs)</w:t>
            </w:r>
          </w:p>
        </w:tc>
        <w:tc>
          <w:tcPr>
            <w:tcW w:type="dxa" w:w="2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Legal exposure</w:t>
            </w:r>
          </w:p>
        </w:tc>
        <w:tc>
          <w:tcPr>
            <w:tcW w:type="dxa" w:w="40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Suppression lists, honored opt-outs across all domains, required identifiers in emails</w:t>
            </w:r>
          </w:p>
        </w:tc>
      </w:tr>
      <w:tr>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Cross-customer data leak</w:t>
            </w:r>
          </w:p>
        </w:tc>
        <w:tc>
          <w:tcPr>
            <w:tcW w:type="dxa" w:w="29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Serious trust incident</w:t>
            </w:r>
          </w:p>
        </w:tc>
        <w:tc>
          <w:tcPr>
            <w:tcW w:type="dxa" w:w="40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jc w:val="left"/>
            </w:pPr>
            <w:r>
              <w:rPr>
                <w:b w:val="false"/>
                <w:bCs w:val="false"/>
                <w:color w:val="1A1A1A"/>
                <w:sz w:val="20"/>
                <w:szCs w:val="20"/>
              </w:rPr>
              <w:t xml:space="preserve">Row-level security from the first database migration</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Cost overrun on data or AI</w:t>
            </w:r>
          </w:p>
        </w:tc>
        <w:tc>
          <w:tcPr>
            <w:tcW w:type="dxa" w:w="2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Thin or negative margins</w:t>
            </w:r>
          </w:p>
        </w:tc>
        <w:tc>
          <w:tcPr>
            <w:tcW w:type="dxa" w:w="40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A1A1A"/>
                <w:sz w:val="20"/>
                <w:szCs w:val="20"/>
              </w:rPr>
              <w:t xml:space="preserve">Filter before spending; model routing; usage caps and monitoring</w:t>
            </w:r>
          </w:p>
        </w:tc>
      </w:tr>
    </w:tbl>
    <w:p>
      <w:r>
        <w:br w:type="page"/>
      </w:r>
    </w:p>
    <w:p>
      <w:pPr>
        <w:pStyle w:val="Heading1"/>
      </w:pPr>
      <w:r>
        <w:t xml:space="preserve">9. Summary and Approach</w:t>
      </w:r>
    </w:p>
    <w:p>
      <w:pPr>
        <w:spacing w:after="140" w:line="276"/>
      </w:pPr>
      <w:r>
        <w:t xml:space="preserve">The recommended approach carries the following commitments:</w:t>
      </w:r>
    </w:p>
    <w:p>
      <w:pPr>
        <w:pStyle w:val="ListParagraph"/>
        <w:numPr>
          <w:ilvl w:val="0"/>
          <w:numId w:val="3"/>
        </w:numPr>
        <w:spacing w:after="70" w:line="276"/>
      </w:pPr>
      <w:r>
        <w:t xml:space="preserve">Build under a separate brand, replicating Artisan's workflow and experience — not its name, logo, or copy.</w:t>
      </w:r>
    </w:p>
    <w:p>
      <w:pPr>
        <w:pStyle w:val="ListParagraph"/>
        <w:numPr>
          <w:ilvl w:val="0"/>
          <w:numId w:val="3"/>
        </w:numPr>
        <w:spacing w:after="70" w:line="276"/>
      </w:pPr>
      <w:r>
        <w:t xml:space="preserve">Scope version 1 to email-only, rented data, rented sending, and a human-review queue before autopilot. Defer LinkedIn, voice, and full autonomy.</w:t>
      </w:r>
    </w:p>
    <w:p>
      <w:pPr>
        <w:pStyle w:val="ListParagraph"/>
        <w:numPr>
          <w:ilvl w:val="0"/>
          <w:numId w:val="3"/>
        </w:numPr>
        <w:spacing w:after="70" w:line="276"/>
      </w:pPr>
      <w:r>
        <w:t xml:space="preserve">Treat data accuracy and email deliverability as the real product, and give them the time and budget they require.</w:t>
      </w:r>
    </w:p>
    <w:p>
      <w:pPr>
        <w:pStyle w:val="ListParagraph"/>
        <w:numPr>
          <w:ilvl w:val="0"/>
          <w:numId w:val="3"/>
        </w:numPr>
        <w:spacing w:after="70" w:line="276"/>
      </w:pPr>
      <w:r>
        <w:t xml:space="preserve">Plan around the distinction between matching the surface (weeks) and closing the performance gap (months in market).</w:t>
      </w:r>
    </w:p>
    <w:p>
      <w:pPr>
        <w:pStyle w:val="ListParagraph"/>
        <w:numPr>
          <w:ilvl w:val="0"/>
          <w:numId w:val="3"/>
        </w:numPr>
        <w:spacing w:after="70" w:line="276"/>
      </w:pPr>
      <w:r>
        <w:t xml:space="preserve">Run lean: rent the expensive components, route AI work to the cheapest capable model, and filter leads before spending on them.</w:t>
      </w:r>
    </w:p>
    <w:p>
      <w:pPr>
        <w:spacing w:after="60"/>
      </w:pPr>
      <w:r>
        <w:t xml:space="preserve"/>
      </w:r>
    </w:p>
    <w:p>
      <w:pPr>
        <w:spacing w:after="140" w:line="276"/>
      </w:pPr>
      <w:r>
        <w:rPr>
          <w:b/>
          <w:bCs/>
        </w:rPr>
        <w:t xml:space="preserve">Bottom line: </w:t>
      </w:r>
      <w:r>
        <w:t xml:space="preserve">a credible, usable, end-to-end replica of Artisan's product can be delivered for roughly $500–$1,500 per month at pilot scale (excluding the development subscription). It will look like Artisan immediately and perform like a strong early-stage version of it, closing the gap as domains age and data accumulates. The parts that cannot be matched on day one — deliverability reputation, data depth, and tuned reply quality — are time-based, and no competitor can shortcut them either.</w:t>
      </w:r>
    </w:p>
    <w:p>
      <w:pPr>
        <w:spacing w:after="60"/>
      </w:pPr>
      <w:r>
        <w:t xml:space="preserve"/>
      </w:r>
    </w:p>
    <w:p>
      <w:pPr>
        <w:pBdr>
          <w:top w:val="single" w:color="CCCCCC" w:sz="4" w:space="6"/>
        </w:pBdr>
        <w:spacing w:before="160"/>
      </w:pPr>
      <w:r>
        <w:rPr>
          <w:i/>
          <w:iCs/>
          <w:color w:val="555555"/>
          <w:sz w:val="18"/>
          <w:szCs w:val="18"/>
        </w:rPr>
        <w:t xml:space="preserve">This is an internal build plan reflecting engineering estimates. Costs are 2026 market ranges and will vary with scale and vendor choice.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Internal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A1A1A"/>
      <w:sz w:val="30"/>
      <w:szCs w:val="30"/>
    </w:rPr>
  </w:style>
  <w:style w:type="paragraph" w:styleId="Heading2">
    <w:name w:val="Heading 2"/>
    <w:basedOn w:val="Normal"/>
    <w:next w:val="Normal"/>
    <w:qFormat/>
    <w:pPr>
      <w:spacing w:after="110" w:before="200"/>
      <w:outlineLvl w:val="1"/>
    </w:pPr>
    <w:rPr>
      <w:rFonts w:ascii="Arial" w:cs="Arial" w:eastAsia="Arial" w:hAnsi="Arial"/>
      <w:b/>
      <w:bCs/>
      <w:color w:val="33373B"/>
      <w:sz w:val="25"/>
      <w:szCs w:val="25"/>
    </w:rPr>
  </w:style>
  <w:style w:type="paragraph" w:styleId="Heading3">
    <w:name w:val="Heading 3"/>
    <w:basedOn w:val="Normal"/>
    <w:next w:val="Normal"/>
    <w:qFormat/>
    <w:pPr>
      <w:spacing w:after="70" w:before="140"/>
      <w:outlineLvl w:val="2"/>
    </w:pPr>
    <w:rPr>
      <w:rFonts w:ascii="Arial" w:cs="Arial" w:eastAsia="Arial" w:hAnsi="Arial"/>
      <w:b/>
      <w:bCs/>
      <w:color w:val="3337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Sales Agent — Product Build Plan</dc:title>
  <dc:creator>Engineering</dc:creator>
  <cp:lastModifiedBy>Un-named</cp:lastModifiedBy>
  <cp:revision>1</cp:revision>
  <dcterms:created xsi:type="dcterms:W3CDTF">2026-06-02T18:54:31.208Z</dcterms:created>
  <dcterms:modified xsi:type="dcterms:W3CDTF">2026-06-02T18:54:31.208Z</dcterms:modified>
</cp:coreProperties>
</file>

<file path=docProps/custom.xml><?xml version="1.0" encoding="utf-8"?>
<Properties xmlns="http://schemas.openxmlformats.org/officeDocument/2006/custom-properties" xmlns:vt="http://schemas.openxmlformats.org/officeDocument/2006/docPropsVTypes"/>
</file>