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 w:before="160"/>
      </w:pPr>
      <w:r>
        <w:rPr>
          <w:rFonts w:ascii="Arial" w:cs="Arial" w:eastAsia="Arial" w:hAnsi="Arial"/>
          <w:b/>
          <w:bCs/>
          <w:color w:val="1A1A1A"/>
          <w:sz w:val="38"/>
          <w:szCs w:val="38"/>
        </w:rPr>
        <w:t xml:space="preserve">AI Sales Agent — Cost &amp; Unit Economics Report</w:t>
      </w:r>
    </w:p>
    <w:p>
      <w:pPr>
        <w:spacing w:after="60"/>
      </w:pPr>
      <w:r>
        <w:rPr>
          <w:color w:val="555555"/>
          <w:sz w:val="23"/>
          <w:szCs w:val="23"/>
        </w:rPr>
        <w:t xml:space="preserve">Report 2 of 2 — Product running cost and pricing strategy</w:t>
      </w:r>
    </w:p>
    <w:p>
      <w:pPr>
        <w:pBdr>
          <w:bottom w:val="single" w:color="C9C9C9" w:sz="6" w:space="8"/>
        </w:pBdr>
        <w:spacing w:after="200"/>
      </w:pPr>
      <w:r>
        <w:rPr>
          <w:i/>
          <w:iCs/>
          <w:color w:val="555555"/>
          <w:sz w:val="19"/>
          <w:szCs w:val="19"/>
        </w:rPr>
        <w:t xml:space="preserve">What it costs to run the product, and how to price it to win on cost</w:t>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 and Method</w:t>
      </w:r>
    </w:p>
    <w:p>
      <w:pPr>
        <w:spacing w:after="140" w:line="278"/>
      </w:pPr>
      <w:r>
        <w:t xml:space="preserve">This report establishes the true running cost of the product so it can be priced low enough to win on price while staying profitable. It covers only variable product-running costs — the money spent per customer to operate the agent. By instruction, it excludes development and hosting tooling (Railway, Vercel, Supabase, and the coding subscription), which are fixed overhead, not per-customer cost.</w:t>
      </w:r>
    </w:p>
    <w:p>
      <w:pPr>
        <w:spacing w:after="140" w:line="278"/>
      </w:pPr>
      <w:r>
        <w:t xml:space="preserve">All figures use current 2026 pricing gathered from provider pricing pages and recent market breakdowns. The cost has three variable buckets — data, email infrastructure, and AI — plus email verification. The central finding is that AI is the cheapest of the three; data and email infrastructure dominate, and they set our price floor.</w:t>
      </w:r>
    </w:p>
    <w:p>
      <w:pPr>
        <w:pStyle w:val="Heading3"/>
      </w:pPr>
      <w:r>
        <w:t xml:space="preserve">The work unit</w:t>
      </w:r>
    </w:p>
    <w:p>
      <w:pPr>
        <w:spacing w:after="140" w:line="278"/>
      </w:pPr>
      <w:r>
        <w:t xml:space="preserve">Cost scales with leads processed and emails sent, not with the number of customers directly. We model three volume tiers: a small pilot (2,000 leads/month), a typical active customer (10,000 leads/month), and a heavy customer or small fleet (50,000 leads/month). A ~3% reply rate is assumed for reply-handling cost.</w:t>
      </w:r>
    </w:p>
    <w:p>
      <w:r>
        <w:br w:type="page"/>
      </w:r>
    </w:p>
    <w:p>
      <w:pPr>
        <w:pStyle w:val="Heading1"/>
      </w:pPr>
      <w:r>
        <w:t xml:space="preserve">2. The Three Cost Buckets</w:t>
      </w:r>
    </w:p>
    <w:p>
      <w:pPr>
        <w:pStyle w:val="Heading2"/>
      </w:pPr>
      <w:r>
        <w:t xml:space="preserve">Bucket A — Contact data and enrichment</w:t>
      </w:r>
    </w:p>
    <w:p>
      <w:pPr>
        <w:spacing w:after="140" w:line="278"/>
      </w:pPr>
      <w:r>
        <w:t xml:space="preserve">This is the largest and least compressible cost. Options and current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50"/>
        <w:gridCol w:w="2550"/>
        <w:gridCol w:w="2400"/>
        <w:gridCol w:w="2460"/>
      </w:tblGrid>
      <w:tr>
        <w:trPr>
          <w:tblHeader/>
        </w:trPr>
        <w:tc>
          <w:tcPr>
            <w:tcW w:type="dxa" w:w="19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Provider</w:t>
            </w:r>
          </w:p>
        </w:tc>
        <w:tc>
          <w:tcPr>
            <w:tcW w:type="dxa" w:w="255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Model</w:t>
            </w:r>
          </w:p>
        </w:tc>
        <w:tc>
          <w:tcPr>
            <w:tcW w:type="dxa" w:w="24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Effective cost</w:t>
            </w:r>
          </w:p>
        </w:tc>
        <w:tc>
          <w:tcPr>
            <w:tcW w:type="dxa" w:w="24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Notes</w:t>
            </w:r>
          </w:p>
        </w:tc>
      </w:tr>
      <w:tr>
        <w:tc>
          <w:tcPr>
            <w:tcW w:type="dxa" w:w="19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Apollo (Basic)</w:t>
            </w:r>
          </w:p>
        </w:tc>
        <w:tc>
          <w:tcPr>
            <w:tcW w:type="dxa" w:w="25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$49/user/mo annual; credit-based</w:t>
            </w:r>
          </w:p>
        </w:tc>
        <w:tc>
          <w:tcPr>
            <w:tcW w:type="dxa" w:w="24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 credit/email reveal; overage $0.20/credit</w:t>
            </w:r>
          </w:p>
        </w:tc>
        <w:tc>
          <w:tcPr>
            <w:tcW w:type="dxa" w:w="24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275M+ contacts; email credits unlimited under fair use; phone costs ~8 credits</w:t>
            </w:r>
          </w:p>
        </w:tc>
      </w:tr>
      <w:tr>
        <w:tc>
          <w:tcPr>
            <w:tcW w:type="dxa" w:w="19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Apollo (Professional)</w:t>
            </w:r>
          </w:p>
        </w:tc>
        <w:tc>
          <w:tcPr>
            <w:tcW w:type="dxa" w:w="25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$79/user/mo annual</w:t>
            </w:r>
          </w:p>
        </w:tc>
        <w:tc>
          <w:tcPr>
            <w:tcW w:type="dxa" w:w="24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Unlimited email under fair use</w:t>
            </w:r>
          </w:p>
        </w:tc>
        <w:tc>
          <w:tcPr>
            <w:tcW w:type="dxa" w:w="24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Adds dialer, A/B; API access on higher tiers</w:t>
            </w:r>
          </w:p>
        </w:tc>
      </w:tr>
      <w:tr>
        <w:tc>
          <w:tcPr>
            <w:tcW w:type="dxa" w:w="19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Enrich.so</w:t>
            </w:r>
          </w:p>
        </w:tc>
        <w:tc>
          <w:tcPr>
            <w:tcW w:type="dxa" w:w="255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$149/mo = 500K credits</w:t>
            </w:r>
          </w:p>
        </w:tc>
        <w:tc>
          <w:tcPr>
            <w:tcW w:type="dxa" w:w="24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~$0.0003/credit</w:t>
            </w:r>
          </w:p>
        </w:tc>
        <w:tc>
          <w:tcPr>
            <w:tcW w:type="dxa" w:w="24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Cheapest API enrichment at volume; good fallback</w:t>
            </w:r>
          </w:p>
        </w:tc>
      </w:tr>
      <w:tr>
        <w:tc>
          <w:tcPr>
            <w:tcW w:type="dxa" w:w="19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People Data Labs</w:t>
            </w:r>
          </w:p>
        </w:tc>
        <w:tc>
          <w:tcPr>
            <w:tcW w:type="dxa" w:w="255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Usage; person enrich from $0.28/match</w:t>
            </w:r>
          </w:p>
        </w:tc>
        <w:tc>
          <w:tcPr>
            <w:tcW w:type="dxa" w:w="24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Pay per successful match</w:t>
            </w:r>
          </w:p>
        </w:tc>
        <w:tc>
          <w:tcPr>
            <w:tcW w:type="dxa" w:w="24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Strong firmographics; premium per-contact</w:t>
            </w:r>
          </w:p>
        </w:tc>
      </w:tr>
    </w:tbl>
    <w:p>
      <w:pPr>
        <w:spacing w:after="60"/>
      </w:pPr>
      <w:r>
        <w:t xml:space="preserve"/>
      </w:r>
    </w:p>
    <w:p>
      <w:pPr>
        <w:spacing w:after="140" w:line="278"/>
      </w:pPr>
      <w:r>
        <w:rPr>
          <w:b/>
          <w:bCs/>
        </w:rPr>
        <w:t xml:space="preserve">Planning figure: </w:t>
      </w:r>
      <w:r>
        <w:t xml:space="preserve"/>
      </w:r>
      <w:r>
        <w:t xml:space="preserve">$0.01–$0.05 per processed lead, depending on how much enrichment depth and phone data we pull. Email-only outreach sits at the low end. We keep it low by using Apollo's email-credit allowance for discovery and a cheap API (Enrich.so) for bulk enrichment, reserving premium per-match providers only for high-value leads.</w:t>
      </w:r>
    </w:p>
    <w:p>
      <w:pPr>
        <w:pStyle w:val="Heading2"/>
      </w:pPr>
      <w:r>
        <w:t xml:space="preserve">Bucket B — Email infrastructure (sending + inboxes + domains)</w:t>
      </w:r>
    </w:p>
    <w:p>
      <w:pPr>
        <w:spacing w:after="140" w:line="278"/>
      </w:pPr>
      <w:r>
        <w:t xml:space="preserve">This is a frequently underestimated cost because it has three parts. The sending platform is cheap; the inboxes and domains underneath it are the real spend, and they are separate.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300"/>
        <w:gridCol w:w="3960"/>
      </w:tblGrid>
      <w:tr>
        <w:trPr>
          <w:tblHeader/>
        </w:trPr>
        <w:tc>
          <w:tcPr>
            <w:tcW w:type="dxa" w:w="31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Component</w:t>
            </w:r>
          </w:p>
        </w:tc>
        <w:tc>
          <w:tcPr>
            <w:tcW w:type="dxa" w:w="23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Current pricing</w:t>
            </w:r>
          </w:p>
        </w:tc>
        <w:tc>
          <w:tcPr>
            <w:tcW w:type="dxa" w:w="39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Notes</w:t>
            </w:r>
          </w:p>
        </w:tc>
      </w:tr>
      <w:tr>
        <w:tc>
          <w:tcPr>
            <w:tcW w:type="dxa" w:w="31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Sending platform — Smartlead Basic</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$39/mo (or ~$32.50 annual)</w:t>
            </w:r>
          </w:p>
        </w:tc>
        <w:tc>
          <w:tcPr>
            <w:tcW w:type="dxa" w:w="39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Unlimited mailboxes + warmup; 2,000 active leads, 6,000 sends/mo</w:t>
            </w:r>
          </w:p>
        </w:tc>
      </w:tr>
      <w:tr>
        <w:tc>
          <w:tcPr>
            <w:tcW w:type="dxa" w:w="31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Sending platform — Smartlead Pro</w:t>
            </w:r>
          </w:p>
        </w:tc>
        <w:tc>
          <w:tcPr>
            <w:tcW w:type="dxa" w:w="23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$94/mo</w:t>
            </w:r>
          </w:p>
        </w:tc>
        <w:tc>
          <w:tcPr>
            <w:tcW w:type="dxa" w:w="39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API access + webhooks (needed for our integration); 30,000 leads, 150,000 sends/mo</w:t>
            </w:r>
          </w:p>
        </w:tc>
      </w:tr>
      <w:tr>
        <w:tc>
          <w:tcPr>
            <w:tcW w:type="dxa" w:w="31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Mailboxes (Google Workspace, pre-warmed)</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~$3.50–$5 per inbox/mo</w:t>
            </w:r>
          </w:p>
        </w:tc>
        <w:tc>
          <w:tcPr>
            <w:tcW w:type="dxa" w:w="39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Each inbox sends a safe daily limit; volume needs many inboxes</w:t>
            </w:r>
          </w:p>
        </w:tc>
      </w:tr>
      <w:tr>
        <w:tc>
          <w:tcPr>
            <w:tcW w:type="dxa" w:w="31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Sending domains</w:t>
            </w:r>
          </w:p>
        </w:tc>
        <w:tc>
          <w:tcPr>
            <w:tcW w:type="dxa" w:w="23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~$10/domain/year (~$0.85/mo)</w:t>
            </w:r>
          </w:p>
        </w:tc>
        <w:tc>
          <w:tcPr>
            <w:tcW w:type="dxa" w:w="39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~3 inboxes per domain is the safe ratio</w:t>
            </w:r>
          </w:p>
        </w:tc>
      </w:tr>
      <w:tr>
        <w:tc>
          <w:tcPr>
            <w:tcW w:type="dxa" w:w="31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Warmup</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Included in Smartlead</w:t>
            </w:r>
          </w:p>
        </w:tc>
        <w:tc>
          <w:tcPr>
            <w:tcW w:type="dxa" w:w="39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But requires weeks of calendar time before full-volume sending</w:t>
            </w:r>
          </w:p>
        </w:tc>
      </w:tr>
    </w:tbl>
    <w:p>
      <w:pPr>
        <w:spacing w:after="60"/>
      </w:pPr>
      <w:r>
        <w:t xml:space="preserve"/>
      </w:r>
    </w:p>
    <w:p>
      <w:pPr>
        <w:spacing w:after="140" w:line="278"/>
      </w:pPr>
      <w:r>
        <w:rPr>
          <w:b/>
          <w:bCs/>
        </w:rPr>
        <w:t xml:space="preserve">Worked example (real market figure): </w:t>
      </w:r>
      <w:r>
        <w:t xml:space="preserve"/>
      </w:r>
      <w:r>
        <w:t xml:space="preserve">a system sending ~200 emails/day (~6,000/mo) costs roughly $200–$310/month all-in once inboxes, domains, the platform, and verification are counted. The platform itself is a small slice; inboxes and domains scale with sending volume.</w:t>
      </w:r>
    </w:p>
    <w:p>
      <w:pPr>
        <w:pStyle w:val="Heading2"/>
      </w:pPr>
      <w:r>
        <w:t xml:space="preserve">Bucket C — AI / LLM (the cheapest bucket)</w:t>
      </w:r>
    </w:p>
    <w:p>
      <w:pPr>
        <w:spacing w:after="140" w:line="278"/>
      </w:pPr>
      <w:r>
        <w:t xml:space="preserve">Counter to intuition, the AI is the smallest variable cost — if we route intelligently. Current per-million-token rates: GPT-4o-mini $0.15/$0.60, Gemini Flash ~$0.50/$3, Claude Haiku $1/$5, Claude Sonnet $3/$15. Prompt caching cuts repeated input by ~90%; batch processing cuts non-real-time work by 50%.</w:t>
      </w:r>
    </w:p>
    <w:p>
      <w:pPr>
        <w:spacing w:after="140" w:line="278"/>
      </w:pPr>
      <w:r>
        <w:t xml:space="preserve">With model routing (cheap models for research/classification, a strong model only for the final email), caching the customer knowledge base, and batching non-real-time steps, the computed cost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1600"/>
        <w:gridCol w:w="4460"/>
      </w:tblGrid>
      <w:tr>
        <w:trPr>
          <w:tblHeader/>
        </w:trPr>
        <w:tc>
          <w:tcPr>
            <w:tcW w:type="dxa" w:w="33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Item</w:t>
            </w:r>
          </w:p>
        </w:tc>
        <w:tc>
          <w:tcPr>
            <w:tcW w:type="dxa" w:w="16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Cost</w:t>
            </w:r>
          </w:p>
        </w:tc>
        <w:tc>
          <w:tcPr>
            <w:tcW w:type="dxa" w:w="44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Basis</w:t>
            </w:r>
          </w:p>
        </w:tc>
      </w:tr>
      <w:tr>
        <w:tc>
          <w:tcPr>
            <w:tcW w:type="dxa" w:w="3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Per fully-processed lead (routed + batched)</w:t>
            </w:r>
          </w:p>
        </w:tc>
        <w:tc>
          <w:tcPr>
            <w:tcW w:type="dxa" w:w="16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~$0.016</w:t>
            </w:r>
          </w:p>
        </w:tc>
        <w:tc>
          <w:tcPr>
            <w:tcW w:type="dxa" w:w="44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Research on cheap model; positioning + writing on Sonnet with cached KB; non-real-time steps batched at 50% off</w:t>
            </w:r>
          </w:p>
        </w:tc>
      </w:tr>
      <w:tr>
        <w:tc>
          <w:tcPr>
            <w:tcW w:type="dxa" w:w="33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Per reply handled</w:t>
            </w:r>
          </w:p>
        </w:tc>
        <w:tc>
          <w:tcPr>
            <w:tcW w:type="dxa" w:w="16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~$0.014</w:t>
            </w:r>
          </w:p>
        </w:tc>
        <w:tc>
          <w:tcPr>
            <w:tcW w:type="dxa" w:w="44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Cheap classifier + a single mid-model drafted response</w:t>
            </w:r>
          </w:p>
        </w:tc>
      </w:tr>
      <w:tr>
        <w:tc>
          <w:tcPr>
            <w:tcW w:type="dxa" w:w="3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Naive (everything on a top model, no caching)</w:t>
            </w:r>
          </w:p>
        </w:tc>
        <w:tc>
          <w:tcPr>
            <w:tcW w:type="dxa" w:w="16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~$0.05–$0.15</w:t>
            </w:r>
          </w:p>
        </w:tc>
        <w:tc>
          <w:tcPr>
            <w:tcW w:type="dxa" w:w="44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Shown for contrast — what we avoid</w:t>
            </w:r>
          </w:p>
        </w:tc>
      </w:tr>
    </w:tbl>
    <w:p>
      <w:pPr>
        <w:spacing w:after="60"/>
      </w:pPr>
      <w:r>
        <w:t xml:space="preserve"/>
      </w:r>
    </w:p>
    <w:p>
      <w:pPr>
        <w:spacing w:after="140" w:line="278"/>
      </w:pPr>
      <w:r>
        <w:rPr>
          <w:b/>
          <w:bCs/>
        </w:rPr>
        <w:t xml:space="preserve">Takeaway: </w:t>
      </w:r>
      <w:r>
        <w:t xml:space="preserve"/>
      </w:r>
      <w:r>
        <w:t xml:space="preserve">at 10,000 leads/month the AI costs roughly $160. The data and email layers for the same volume cost several times more. Optimizing the AI matters for margin discipline, but it is never the thing that decides whether the product is affordable.</w:t>
      </w:r>
    </w:p>
    <w:p>
      <w:r>
        <w:br w:type="page"/>
      </w:r>
    </w:p>
    <w:p>
      <w:pPr>
        <w:pStyle w:val="Heading1"/>
      </w:pPr>
      <w:r>
        <w:t xml:space="preserve">3. Email Verification (Small Cost, High Leverage)</w:t>
      </w:r>
    </w:p>
    <w:p>
      <w:pPr>
        <w:spacing w:after="140" w:line="278"/>
      </w:pPr>
      <w:r>
        <w:t xml:space="preserve">Every list is verified before sending. This is non-negotiable: a single send with a high bounce rate signals to Gmail and Outlook that we are a low-quality sender and damages every subsequent send. Verification drops bounce rate from a typical ~5% on unverified lists to under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000"/>
        <w:gridCol w:w="3260"/>
      </w:tblGrid>
      <w:tr>
        <w:trPr>
          <w:tblHeader/>
        </w:trPr>
        <w:tc>
          <w:tcPr>
            <w:tcW w:type="dxa" w:w="31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Provider</w:t>
            </w:r>
          </w:p>
        </w:tc>
        <w:tc>
          <w:tcPr>
            <w:tcW w:type="dxa" w:w="30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Cost per email</w:t>
            </w:r>
          </w:p>
        </w:tc>
        <w:tc>
          <w:tcPr>
            <w:tcW w:type="dxa" w:w="32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Accuracy</w:t>
            </w:r>
          </w:p>
        </w:tc>
      </w:tr>
      <w:tr>
        <w:tc>
          <w:tcPr>
            <w:tcW w:type="dxa" w:w="31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MillionVerifier</w:t>
            </w:r>
          </w:p>
        </w:tc>
        <w:tc>
          <w:tcPr>
            <w:tcW w:type="dxa" w:w="30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~$0.0037 ($37 / 10K)</w:t>
            </w:r>
          </w:p>
        </w:tc>
        <w:tc>
          <w:tcPr>
            <w:tcW w:type="dxa" w:w="3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~96% — budget choice</w:t>
            </w:r>
          </w:p>
        </w:tc>
      </w:tr>
      <w:tr>
        <w:tc>
          <w:tcPr>
            <w:tcW w:type="dxa" w:w="31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NeverBounce</w:t>
            </w:r>
          </w:p>
        </w:tc>
        <w:tc>
          <w:tcPr>
            <w:tcW w:type="dxa" w:w="30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~$0.008 ($80 / 10K)</w:t>
            </w:r>
          </w:p>
        </w:tc>
        <w:tc>
          <w:tcPr>
            <w:tcW w:type="dxa" w:w="32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97–99%</w:t>
            </w:r>
          </w:p>
        </w:tc>
      </w:tr>
      <w:tr>
        <w:tc>
          <w:tcPr>
            <w:tcW w:type="dxa" w:w="31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ZeroBounce</w:t>
            </w:r>
          </w:p>
        </w:tc>
        <w:tc>
          <w:tcPr>
            <w:tcW w:type="dxa" w:w="30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~$0.008–$0.016</w:t>
            </w:r>
          </w:p>
        </w:tc>
        <w:tc>
          <w:tcPr>
            <w:tcW w:type="dxa" w:w="32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99%+ — best catch-all detection</w:t>
            </w:r>
          </w:p>
        </w:tc>
      </w:tr>
    </w:tbl>
    <w:p>
      <w:pPr>
        <w:spacing w:after="60"/>
      </w:pPr>
      <w:r>
        <w:t xml:space="preserve"/>
      </w:r>
    </w:p>
    <w:p>
      <w:pPr>
        <w:spacing w:after="140" w:line="278"/>
      </w:pPr>
      <w:r>
        <w:t xml:space="preserve">At roughly $0.004 per email, verification is described across the industry as the highest-leverage dollar in a cold-email budget. We default to MillionVerifier for bulk and escalate to ZeroBounce for ambiguous catch-all domains.</w:t>
      </w:r>
    </w:p>
    <w:p>
      <w:r>
        <w:br w:type="page"/>
      </w:r>
    </w:p>
    <w:p>
      <w:pPr>
        <w:pStyle w:val="Heading1"/>
      </w:pPr>
      <w:r>
        <w:t xml:space="preserve">4. Unit Economics (Per Lead and Per Month)</w:t>
      </w:r>
    </w:p>
    <w:p>
      <w:pPr>
        <w:spacing w:after="140" w:line="278"/>
      </w:pPr>
      <w:r>
        <w:t xml:space="preserve">Combining all buckets, the all-in variable cost to process one lead through the full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300"/>
        <w:gridCol w:w="2700"/>
      </w:tblGrid>
      <w:tr>
        <w:trPr>
          <w:tblHeader/>
        </w:trPr>
        <w:tc>
          <w:tcPr>
            <w:tcW w:type="dxa" w:w="43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Cost component</w:t>
            </w:r>
          </w:p>
        </w:tc>
        <w:tc>
          <w:tcPr>
            <w:tcW w:type="dxa" w:w="23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Per lead (low)</w:t>
            </w:r>
          </w:p>
        </w:tc>
        <w:tc>
          <w:tcPr>
            <w:tcW w:type="dxa" w:w="27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Per lead (high)</w:t>
            </w:r>
          </w:p>
        </w:tc>
      </w:tr>
      <w:tr>
        <w:tc>
          <w:tcPr>
            <w:tcW w:type="dxa" w:w="43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Contact data + enrichment</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$0.010</w:t>
            </w:r>
          </w:p>
        </w:tc>
        <w:tc>
          <w:tcPr>
            <w:tcW w:type="dxa" w:w="2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$0.050</w:t>
            </w:r>
          </w:p>
        </w:tc>
      </w:tr>
      <w:tr>
        <w:tc>
          <w:tcPr>
            <w:tcW w:type="dxa" w:w="43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Email verification</w:t>
            </w:r>
          </w:p>
        </w:tc>
        <w:tc>
          <w:tcPr>
            <w:tcW w:type="dxa" w:w="23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$0.004</w:t>
            </w:r>
          </w:p>
        </w:tc>
        <w:tc>
          <w:tcPr>
            <w:tcW w:type="dxa" w:w="27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$0.008</w:t>
            </w:r>
          </w:p>
        </w:tc>
      </w:tr>
      <w:tr>
        <w:tc>
          <w:tcPr>
            <w:tcW w:type="dxa" w:w="43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AI (routed + batched)</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$0.016</w:t>
            </w:r>
          </w:p>
        </w:tc>
        <w:tc>
          <w:tcPr>
            <w:tcW w:type="dxa" w:w="2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$0.022</w:t>
            </w:r>
          </w:p>
        </w:tc>
      </w:tr>
      <w:tr>
        <w:tc>
          <w:tcPr>
            <w:tcW w:type="dxa" w:w="43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Reply handling (amortized at ~3% reply)</w:t>
            </w:r>
          </w:p>
        </w:tc>
        <w:tc>
          <w:tcPr>
            <w:tcW w:type="dxa" w:w="23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$0.000</w:t>
            </w:r>
          </w:p>
        </w:tc>
        <w:tc>
          <w:tcPr>
            <w:tcW w:type="dxa" w:w="27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$0.001</w:t>
            </w:r>
          </w:p>
        </w:tc>
      </w:tr>
      <w:tr>
        <w:tc>
          <w:tcPr>
            <w:tcW w:type="dxa" w:w="43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bCs/>
                <w:color w:val="1A1A1A"/>
                <w:sz w:val="19"/>
                <w:szCs w:val="19"/>
              </w:rPr>
              <w:t xml:space="preserve">Total per lead</w:t>
            </w:r>
          </w:p>
        </w:tc>
        <w:tc>
          <w:tcPr>
            <w:tcW w:type="dxa" w:w="23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bCs/>
                <w:color w:val="1A1A1A"/>
                <w:sz w:val="19"/>
                <w:szCs w:val="19"/>
              </w:rPr>
              <w:t xml:space="preserve">~$0.030</w:t>
            </w:r>
          </w:p>
        </w:tc>
        <w:tc>
          <w:tcPr>
            <w:tcW w:type="dxa" w:w="2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bCs/>
                <w:color w:val="1A1A1A"/>
                <w:sz w:val="19"/>
                <w:szCs w:val="19"/>
              </w:rPr>
              <w:t xml:space="preserve">~$0.081</w:t>
            </w:r>
          </w:p>
        </w:tc>
      </w:tr>
    </w:tbl>
    <w:p>
      <w:pPr>
        <w:spacing w:after="60"/>
      </w:pPr>
      <w:r>
        <w:t xml:space="preserve"/>
      </w:r>
    </w:p>
    <w:p>
      <w:pPr>
        <w:spacing w:after="140" w:line="278"/>
      </w:pPr>
      <w:r>
        <w:rPr>
          <w:b/>
          <w:bCs/>
        </w:rPr>
        <w:t xml:space="preserve">Note: </w:t>
      </w:r>
      <w:r>
        <w:t xml:space="preserve">the per-lead figure above excludes the email-infrastructure subscription (Smartlead) and inboxes/domains, which are largely fixed per customer rather than per lead. Those are added in the monthly view below.</w:t>
      </w:r>
    </w:p>
    <w:p>
      <w:pPr>
        <w:pStyle w:val="Heading2"/>
      </w:pPr>
      <w:r>
        <w:t xml:space="preserve">Monthly variable cost by volume</w:t>
      </w:r>
    </w:p>
    <w:p>
      <w:pPr>
        <w:spacing w:after="140" w:line="278"/>
      </w:pPr>
      <w:r>
        <w:t xml:space="preserve">Per-customer monthly cost, all buckets included, at three volume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000"/>
        <w:gridCol w:w="2200"/>
        <w:gridCol w:w="2400"/>
      </w:tblGrid>
      <w:tr>
        <w:trPr>
          <w:tblHeader/>
        </w:trPr>
        <w:tc>
          <w:tcPr>
            <w:tcW w:type="dxa" w:w="27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Cost bucket</w:t>
            </w:r>
          </w:p>
        </w:tc>
        <w:tc>
          <w:tcPr>
            <w:tcW w:type="dxa" w:w="20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2,000 leads</w:t>
            </w:r>
          </w:p>
        </w:tc>
        <w:tc>
          <w:tcPr>
            <w:tcW w:type="dxa" w:w="22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10,000 leads</w:t>
            </w:r>
          </w:p>
        </w:tc>
        <w:tc>
          <w:tcPr>
            <w:tcW w:type="dxa" w:w="24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50,000 leads</w:t>
            </w:r>
          </w:p>
        </w:tc>
      </w:tr>
      <w:tr>
        <w:tc>
          <w:tcPr>
            <w:tcW w:type="dxa" w:w="27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Contact data + enrichment</w:t>
            </w:r>
          </w:p>
        </w:tc>
        <w:tc>
          <w:tcPr>
            <w:tcW w:type="dxa" w:w="20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$20–$100</w:t>
            </w:r>
          </w:p>
        </w:tc>
        <w:tc>
          <w:tcPr>
            <w:tcW w:type="dxa" w:w="22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$100–$500</w:t>
            </w:r>
          </w:p>
        </w:tc>
        <w:tc>
          <w:tcPr>
            <w:tcW w:type="dxa" w:w="24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$500–$2,500</w:t>
            </w:r>
          </w:p>
        </w:tc>
      </w:tr>
      <w:tr>
        <w:tc>
          <w:tcPr>
            <w:tcW w:type="dxa" w:w="27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Email verification</w:t>
            </w:r>
          </w:p>
        </w:tc>
        <w:tc>
          <w:tcPr>
            <w:tcW w:type="dxa" w:w="20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~$8</w:t>
            </w:r>
          </w:p>
        </w:tc>
        <w:tc>
          <w:tcPr>
            <w:tcW w:type="dxa" w:w="22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~$40</w:t>
            </w:r>
          </w:p>
        </w:tc>
        <w:tc>
          <w:tcPr>
            <w:tcW w:type="dxa" w:w="24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~$200</w:t>
            </w:r>
          </w:p>
        </w:tc>
      </w:tr>
      <w:tr>
        <w:tc>
          <w:tcPr>
            <w:tcW w:type="dxa" w:w="27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AI (routed + batched)</w:t>
            </w:r>
          </w:p>
        </w:tc>
        <w:tc>
          <w:tcPr>
            <w:tcW w:type="dxa" w:w="20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~$33</w:t>
            </w:r>
          </w:p>
        </w:tc>
        <w:tc>
          <w:tcPr>
            <w:tcW w:type="dxa" w:w="22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~$160</w:t>
            </w:r>
          </w:p>
        </w:tc>
        <w:tc>
          <w:tcPr>
            <w:tcW w:type="dxa" w:w="24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~$815</w:t>
            </w:r>
          </w:p>
        </w:tc>
      </w:tr>
      <w:tr>
        <w:tc>
          <w:tcPr>
            <w:tcW w:type="dxa" w:w="27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Sending platform (Smartlead)</w:t>
            </w:r>
          </w:p>
        </w:tc>
        <w:tc>
          <w:tcPr>
            <w:tcW w:type="dxa" w:w="20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$39</w:t>
            </w:r>
          </w:p>
        </w:tc>
        <w:tc>
          <w:tcPr>
            <w:tcW w:type="dxa" w:w="22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$94</w:t>
            </w:r>
          </w:p>
        </w:tc>
        <w:tc>
          <w:tcPr>
            <w:tcW w:type="dxa" w:w="24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$94–$174</w:t>
            </w:r>
          </w:p>
        </w:tc>
      </w:tr>
      <w:tr>
        <w:tc>
          <w:tcPr>
            <w:tcW w:type="dxa" w:w="27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Inboxes + domains</w:t>
            </w:r>
          </w:p>
        </w:tc>
        <w:tc>
          <w:tcPr>
            <w:tcW w:type="dxa" w:w="20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$30–$80</w:t>
            </w:r>
          </w:p>
        </w:tc>
        <w:tc>
          <w:tcPr>
            <w:tcW w:type="dxa" w:w="22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$120–$300</w:t>
            </w:r>
          </w:p>
        </w:tc>
        <w:tc>
          <w:tcPr>
            <w:tcW w:type="dxa" w:w="24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$400–$900</w:t>
            </w:r>
          </w:p>
        </w:tc>
      </w:tr>
      <w:tr>
        <w:tc>
          <w:tcPr>
            <w:tcW w:type="dxa" w:w="27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bCs/>
                <w:color w:val="1A1A1A"/>
                <w:sz w:val="19"/>
                <w:szCs w:val="19"/>
              </w:rPr>
              <w:t xml:space="preserve">Total / customer / month</w:t>
            </w:r>
          </w:p>
        </w:tc>
        <w:tc>
          <w:tcPr>
            <w:tcW w:type="dxa" w:w="20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bCs/>
                <w:color w:val="1A1A1A"/>
                <w:sz w:val="19"/>
                <w:szCs w:val="19"/>
              </w:rPr>
              <w:t xml:space="preserve">~$130–$260</w:t>
            </w:r>
          </w:p>
        </w:tc>
        <w:tc>
          <w:tcPr>
            <w:tcW w:type="dxa" w:w="22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bCs/>
                <w:color w:val="1A1A1A"/>
                <w:sz w:val="19"/>
                <w:szCs w:val="19"/>
              </w:rPr>
              <w:t xml:space="preserve">~$510–$1,090</w:t>
            </w:r>
          </w:p>
        </w:tc>
        <w:tc>
          <w:tcPr>
            <w:tcW w:type="dxa" w:w="24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bCs/>
                <w:color w:val="1A1A1A"/>
                <w:sz w:val="19"/>
                <w:szCs w:val="19"/>
              </w:rPr>
              <w:t xml:space="preserve">~$2,000–$4,600</w:t>
            </w:r>
          </w:p>
        </w:tc>
      </w:tr>
    </w:tbl>
    <w:p>
      <w:pPr>
        <w:spacing w:after="60"/>
      </w:pPr>
      <w:r>
        <w:t xml:space="preserve"/>
      </w:r>
    </w:p>
    <w:p>
      <w:pPr>
        <w:spacing w:after="140" w:line="278"/>
      </w:pPr>
      <w:r>
        <w:rPr>
          <w:b/>
          <w:bCs/>
        </w:rPr>
        <w:t xml:space="preserve">Read this carefully: </w:t>
      </w:r>
      <w:r>
        <w:t xml:space="preserve"/>
      </w:r>
      <w:r>
        <w:t xml:space="preserve">a typical active customer at 10,000 leads/month costs us roughly $500–$1,100 to serve. Data, inboxes/domains, and the sending platform are the bulk of it. AI is the smallest line. This is the number that pricing must sit above.</w:t>
      </w:r>
    </w:p>
    <w:p>
      <w:r>
        <w:br w:type="page"/>
      </w:r>
    </w:p>
    <w:p>
      <w:pPr>
        <w:pStyle w:val="Heading1"/>
      </w:pPr>
      <w:r>
        <w:t xml:space="preserve">5. How We Drive Cost Down</w:t>
      </w:r>
    </w:p>
    <w:p>
      <w:pPr>
        <w:spacing w:after="140" w:line="278"/>
      </w:pPr>
      <w:r>
        <w:t xml:space="preserve">Each measure below is already built into the architecture in Report 1. Together they are what let us price below incumbents.</w:t>
      </w:r>
    </w:p>
    <w:p>
      <w:pPr>
        <w:pStyle w:val="ListParagraph"/>
        <w:numPr>
          <w:ilvl w:val="0"/>
          <w:numId w:val="2"/>
        </w:numPr>
        <w:spacing w:after="66" w:line="276"/>
      </w:pPr>
      <w:r>
        <w:rPr>
          <w:b/>
          <w:bCs/>
        </w:rPr>
        <w:t xml:space="preserve">Filter before spending. </w:t>
      </w:r>
      <w:r>
        <w:t xml:space="preserve">Qualify and verify leads with cheap checks first; spend full enrichment and the strong model only on leads that survive. This is the single biggest lever — we never pay premium cost on leads that bounce or do not fit.</w:t>
      </w:r>
    </w:p>
    <w:p>
      <w:pPr>
        <w:pStyle w:val="ListParagraph"/>
        <w:numPr>
          <w:ilvl w:val="0"/>
          <w:numId w:val="2"/>
        </w:numPr>
        <w:spacing w:after="66" w:line="276"/>
      </w:pPr>
      <w:r>
        <w:rPr>
          <w:b/>
          <w:bCs/>
        </w:rPr>
        <w:t xml:space="preserve">Model routing. </w:t>
      </w:r>
      <w:r>
        <w:t xml:space="preserve">Cheap models (GPT-4o-mini, Haiku, Gemini Flash) for research, classification, and routing; a strong model only for the final email. Cuts AI cost 60–80% on the mixed workload.</w:t>
      </w:r>
    </w:p>
    <w:p>
      <w:pPr>
        <w:pStyle w:val="ListParagraph"/>
        <w:numPr>
          <w:ilvl w:val="0"/>
          <w:numId w:val="2"/>
        </w:numPr>
        <w:spacing w:after="66" w:line="276"/>
      </w:pPr>
      <w:r>
        <w:rPr>
          <w:b/>
          <w:bCs/>
        </w:rPr>
        <w:t xml:space="preserve">Prompt caching. </w:t>
      </w:r>
      <w:r>
        <w:t xml:space="preserve">The per-customer knowledge base is cached, so it is billed at ~10% of normal input cost on every lead instead of full price.</w:t>
      </w:r>
    </w:p>
    <w:p>
      <w:pPr>
        <w:pStyle w:val="ListParagraph"/>
        <w:numPr>
          <w:ilvl w:val="0"/>
          <w:numId w:val="2"/>
        </w:numPr>
        <w:spacing w:after="66" w:line="276"/>
      </w:pPr>
      <w:r>
        <w:rPr>
          <w:b/>
          <w:bCs/>
        </w:rPr>
        <w:t xml:space="preserve">Batch processing. </w:t>
      </w:r>
      <w:r>
        <w:t xml:space="preserve">All non-real-time steps run through batch APIs at 50% off.</w:t>
      </w:r>
    </w:p>
    <w:p>
      <w:pPr>
        <w:pStyle w:val="ListParagraph"/>
        <w:numPr>
          <w:ilvl w:val="0"/>
          <w:numId w:val="2"/>
        </w:numPr>
        <w:spacing w:after="66" w:line="276"/>
      </w:pPr>
      <w:r>
        <w:rPr>
          <w:b/>
          <w:bCs/>
        </w:rPr>
        <w:t xml:space="preserve">Cap output length. </w:t>
      </w:r>
      <w:r>
        <w:t xml:space="preserve">Output tokens cost 3–5x input; we cap every call to the length it actually needs.</w:t>
      </w:r>
    </w:p>
    <w:p>
      <w:pPr>
        <w:pStyle w:val="ListParagraph"/>
        <w:numPr>
          <w:ilvl w:val="0"/>
          <w:numId w:val="2"/>
        </w:numPr>
        <w:spacing w:after="66" w:line="276"/>
      </w:pPr>
      <w:r>
        <w:rPr>
          <w:b/>
          <w:bCs/>
        </w:rPr>
        <w:t xml:space="preserve">Cheap verification, smart escalation. </w:t>
      </w:r>
      <w:r>
        <w:t xml:space="preserve">MillionVerifier for bulk; pay for premium verification only on ambiguous addresses.</w:t>
      </w:r>
    </w:p>
    <w:p>
      <w:pPr>
        <w:pStyle w:val="ListParagraph"/>
        <w:numPr>
          <w:ilvl w:val="0"/>
          <w:numId w:val="2"/>
        </w:numPr>
        <w:spacing w:after="66" w:line="276"/>
      </w:pPr>
      <w:r>
        <w:rPr>
          <w:b/>
          <w:bCs/>
        </w:rPr>
        <w:t xml:space="preserve">Unlimited-mailbox sending. </w:t>
      </w:r>
      <w:r>
        <w:t xml:space="preserve">Smartlead charges a flat fee regardless of mailbox count, so sending volume scales without per-inbox platform fees — only the underlying inbox cost grows.</w:t>
      </w:r>
    </w:p>
    <w:p>
      <w:pPr>
        <w:pStyle w:val="ListParagraph"/>
        <w:numPr>
          <w:ilvl w:val="0"/>
          <w:numId w:val="2"/>
        </w:numPr>
        <w:spacing w:after="66" w:line="276"/>
      </w:pPr>
      <w:r>
        <w:rPr>
          <w:b/>
          <w:bCs/>
        </w:rPr>
        <w:t xml:space="preserve">Rent, never build the moats. </w:t>
      </w:r>
      <w:r>
        <w:t xml:space="preserve">No spend building a contact database or sending infrastructure; we pay only marginal API cost.</w:t>
      </w:r>
    </w:p>
    <w:p>
      <w:r>
        <w:br w:type="page"/>
      </w:r>
    </w:p>
    <w:p>
      <w:pPr>
        <w:pStyle w:val="Heading1"/>
      </w:pPr>
      <w:r>
        <w:t xml:space="preserve">6. Pricing to Win the Market</w:t>
      </w:r>
    </w:p>
    <w:p>
      <w:pPr>
        <w:spacing w:after="140" w:line="278"/>
      </w:pPr>
      <w:r>
        <w:t xml:space="preserve">Incumbents price high: Artisan is reported around $1,500–$2,000 per customer per month, and Apollo-style tools run $150–$400 per user. Our cost to serve a typical customer is roughly $500–$1,100/month at 10,000 leads. That gap is the opportunity.</w:t>
      </w:r>
    </w:p>
    <w:p>
      <w:pPr>
        <w:pStyle w:val="Heading3"/>
      </w:pPr>
      <w:r>
        <w:t xml:space="preserve">Suggested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1700"/>
        <w:gridCol w:w="1900"/>
        <w:gridCol w:w="1560"/>
      </w:tblGrid>
      <w:tr>
        <w:trPr>
          <w:tblHeader/>
        </w:trPr>
        <w:tc>
          <w:tcPr>
            <w:tcW w:type="dxa" w:w="15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Plan</w:t>
            </w:r>
          </w:p>
        </w:tc>
        <w:tc>
          <w:tcPr>
            <w:tcW w:type="dxa" w:w="27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Target customer</w:t>
            </w:r>
          </w:p>
        </w:tc>
        <w:tc>
          <w:tcPr>
            <w:tcW w:type="dxa" w:w="17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Indicative price</w:t>
            </w:r>
          </w:p>
        </w:tc>
        <w:tc>
          <w:tcPr>
            <w:tcW w:type="dxa" w:w="190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Approx. cost to serve</w:t>
            </w:r>
          </w:p>
        </w:tc>
        <w:tc>
          <w:tcPr>
            <w:tcW w:type="dxa" w:w="1560"/>
            <w:tcBorders>
              <w:top w:val="single" w:color="C9C9C9" w:sz="1"/>
              <w:left w:val="single" w:color="C9C9C9" w:sz="1"/>
              <w:bottom w:val="single" w:color="C9C9C9" w:sz="1"/>
              <w:right w:val="single" w:color="C9C9C9" w:sz="1"/>
            </w:tcBorders>
            <w:shd w:fill="2B2F33" w:val="clear"/>
            <w:tcMar>
              <w:top w:type="dxa" w:w="66"/>
              <w:left w:type="dxa" w:w="120"/>
              <w:bottom w:type="dxa" w:w="66"/>
              <w:right w:type="dxa" w:w="120"/>
            </w:tcMar>
          </w:tcPr>
          <w:p>
            <w:pPr>
              <w:jc w:val="left"/>
            </w:pPr>
            <w:r>
              <w:rPr>
                <w:b/>
                <w:bCs/>
                <w:color w:val="FFFFFF"/>
                <w:sz w:val="19"/>
                <w:szCs w:val="19"/>
              </w:rPr>
              <w:t xml:space="preserve">Gross margin</w:t>
            </w:r>
          </w:p>
        </w:tc>
      </w:tr>
      <w:tr>
        <w:tc>
          <w:tcPr>
            <w:tcW w:type="dxa" w:w="15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Starter</w:t>
            </w:r>
          </w:p>
        </w:tc>
        <w:tc>
          <w:tcPr>
            <w:tcW w:type="dxa" w:w="2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Solo / small team, ~2,000 leads/mo</w:t>
            </w:r>
          </w:p>
        </w:tc>
        <w:tc>
          <w:tcPr>
            <w:tcW w:type="dxa" w:w="1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$249/mo</w:t>
            </w:r>
          </w:p>
        </w:tc>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~$130–$260</w:t>
            </w:r>
          </w:p>
        </w:tc>
        <w:tc>
          <w:tcPr>
            <w:tcW w:type="dxa" w:w="15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~30–50%</w:t>
            </w:r>
          </w:p>
        </w:tc>
      </w:tr>
      <w:tr>
        <w:tc>
          <w:tcPr>
            <w:tcW w:type="dxa" w:w="15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Growth</w:t>
            </w:r>
          </w:p>
        </w:tc>
        <w:tc>
          <w:tcPr>
            <w:tcW w:type="dxa" w:w="27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Active team, ~10,000 leads/mo</w:t>
            </w:r>
          </w:p>
        </w:tc>
        <w:tc>
          <w:tcPr>
            <w:tcW w:type="dxa" w:w="17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$699/mo</w:t>
            </w:r>
          </w:p>
        </w:tc>
        <w:tc>
          <w:tcPr>
            <w:tcW w:type="dxa" w:w="190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~$510–$1,090</w:t>
            </w:r>
          </w:p>
        </w:tc>
        <w:tc>
          <w:tcPr>
            <w:tcW w:type="dxa" w:w="1560"/>
            <w:tcBorders>
              <w:top w:val="single" w:color="C9C9C9" w:sz="1"/>
              <w:left w:val="single" w:color="C9C9C9" w:sz="1"/>
              <w:bottom w:val="single" w:color="C9C9C9" w:sz="1"/>
              <w:right w:val="single" w:color="C9C9C9" w:sz="1"/>
            </w:tcBorders>
            <w:shd w:fill="F5F5F5" w:val="clear"/>
            <w:tcMar>
              <w:top w:type="dxa" w:w="66"/>
              <w:left w:type="dxa" w:w="120"/>
              <w:bottom w:type="dxa" w:w="66"/>
              <w:right w:type="dxa" w:w="120"/>
            </w:tcMar>
          </w:tcPr>
          <w:p>
            <w:pPr>
              <w:jc w:val="left"/>
            </w:pPr>
            <w:r>
              <w:rPr>
                <w:b w:val="false"/>
                <w:bCs w:val="false"/>
                <w:color w:val="1A1A1A"/>
                <w:sz w:val="19"/>
                <w:szCs w:val="19"/>
              </w:rPr>
              <w:t xml:space="preserve">~20–50%</w:t>
            </w:r>
          </w:p>
        </w:tc>
      </w:tr>
      <w:tr>
        <w:tc>
          <w:tcPr>
            <w:tcW w:type="dxa" w:w="15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Scale</w:t>
            </w:r>
          </w:p>
        </w:tc>
        <w:tc>
          <w:tcPr>
            <w:tcW w:type="dxa" w:w="2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Heavy / multi-ICP, ~50,000 leads/mo</w:t>
            </w:r>
          </w:p>
        </w:tc>
        <w:tc>
          <w:tcPr>
            <w:tcW w:type="dxa" w:w="17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$1,999/mo</w:t>
            </w:r>
          </w:p>
        </w:tc>
        <w:tc>
          <w:tcPr>
            <w:tcW w:type="dxa" w:w="190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~$2,000–$4,600</w:t>
            </w:r>
          </w:p>
        </w:tc>
        <w:tc>
          <w:tcPr>
            <w:tcW w:type="dxa" w:w="1560"/>
            <w:tcBorders>
              <w:top w:val="single" w:color="C9C9C9" w:sz="1"/>
              <w:left w:val="single" w:color="C9C9C9" w:sz="1"/>
              <w:bottom w:val="single" w:color="C9C9C9" w:sz="1"/>
              <w:right w:val="single" w:color="C9C9C9" w:sz="1"/>
            </w:tcBorders>
            <w:tcMar>
              <w:top w:type="dxa" w:w="66"/>
              <w:left w:type="dxa" w:w="120"/>
              <w:bottom w:type="dxa" w:w="66"/>
              <w:right w:type="dxa" w:w="120"/>
            </w:tcMar>
          </w:tcPr>
          <w:p>
            <w:pPr>
              <w:jc w:val="left"/>
            </w:pPr>
            <w:r>
              <w:rPr>
                <w:b w:val="false"/>
                <w:bCs w:val="false"/>
                <w:color w:val="1A1A1A"/>
                <w:sz w:val="19"/>
                <w:szCs w:val="19"/>
              </w:rPr>
              <w:t xml:space="preserve">negotiated; usage-metered</w:t>
            </w:r>
          </w:p>
        </w:tc>
      </w:tr>
    </w:tbl>
    <w:p>
      <w:pPr>
        <w:spacing w:after="60"/>
      </w:pPr>
      <w:r>
        <w:t xml:space="preserve"/>
      </w:r>
    </w:p>
    <w:p>
      <w:pPr>
        <w:spacing w:after="140" w:line="278"/>
      </w:pPr>
      <w:r>
        <w:rPr>
          <w:b/>
          <w:bCs/>
        </w:rPr>
        <w:t xml:space="preserve">Strategy notes: </w:t>
      </w:r>
      <w:r>
        <w:t xml:space="preserve"/>
      </w:r>
      <w:r>
        <w:t xml:space="preserve">price well under Artisan while protecting margin by (1) metering leads so heavy users pay for what they consume, (2) starting customers on email-only so the cost base stays lean, and (3) improving margin over time as our own domain reputation matures and we negotiate volume rates with data and email vendors. The Starter tier is the market wedge — a credible AI BDR at a price incumbents do not offer.</w:t>
      </w:r>
    </w:p>
    <w:p>
      <w:pPr>
        <w:spacing w:after="60"/>
      </w:pPr>
      <w:r>
        <w:t xml:space="preserve"/>
      </w:r>
    </w:p>
    <w:p>
      <w:pPr>
        <w:spacing w:after="140" w:line="278"/>
      </w:pPr>
      <w:r>
        <w:rPr>
          <w:b/>
          <w:bCs/>
        </w:rPr>
        <w:t xml:space="preserve">Margin caveat: </w:t>
      </w:r>
      <w:r>
        <w:t xml:space="preserve">because we rent the data and email moats that incumbents own, our cost per customer is structurally higher than theirs at the same volume. We win on price and speed-to-market now; closing the margin gap later may justify owning more of the data or sending stack. That is a scale-stage decision, not a launch concern.</w:t>
      </w:r>
    </w:p>
    <w:p>
      <w:r>
        <w:br w:type="page"/>
      </w:r>
    </w:p>
    <w:p>
      <w:pPr>
        <w:pStyle w:val="Heading1"/>
      </w:pPr>
      <w:r>
        <w:t xml:space="preserve">7. Cost Summary</w:t>
      </w:r>
    </w:p>
    <w:p>
      <w:pPr>
        <w:pStyle w:val="ListParagraph"/>
        <w:numPr>
          <w:ilvl w:val="0"/>
          <w:numId w:val="3"/>
        </w:numPr>
        <w:spacing w:after="66" w:line="276"/>
      </w:pPr>
      <w:r>
        <w:rPr>
          <w:b/>
          <w:bCs/>
        </w:rPr>
        <w:t xml:space="preserve">Per-lead variable cost: </w:t>
      </w:r>
      <w:r>
        <w:t xml:space="preserve">~$0.03–$0.08 fully processed.</w:t>
      </w:r>
    </w:p>
    <w:p>
      <w:pPr>
        <w:pStyle w:val="ListParagraph"/>
        <w:numPr>
          <w:ilvl w:val="0"/>
          <w:numId w:val="3"/>
        </w:numPr>
        <w:spacing w:after="66" w:line="276"/>
      </w:pPr>
      <w:r>
        <w:rPr>
          <w:b/>
          <w:bCs/>
        </w:rPr>
        <w:t xml:space="preserve">Per typical customer (10,000 leads/mo): </w:t>
      </w:r>
      <w:r>
        <w:t xml:space="preserve">~$500–$1,100/month to serve.</w:t>
      </w:r>
    </w:p>
    <w:p>
      <w:pPr>
        <w:pStyle w:val="ListParagraph"/>
        <w:numPr>
          <w:ilvl w:val="0"/>
          <w:numId w:val="3"/>
        </w:numPr>
        <w:spacing w:after="66" w:line="276"/>
      </w:pPr>
      <w:r>
        <w:rPr>
          <w:b/>
          <w:bCs/>
        </w:rPr>
        <w:t xml:space="preserve">Cheapest bucket: </w:t>
      </w:r>
      <w:r>
        <w:t xml:space="preserve">AI (~$160/mo at 10,000 leads) — optimize for discipline, not survival.</w:t>
      </w:r>
    </w:p>
    <w:p>
      <w:pPr>
        <w:pStyle w:val="ListParagraph"/>
        <w:numPr>
          <w:ilvl w:val="0"/>
          <w:numId w:val="3"/>
        </w:numPr>
        <w:spacing w:after="66" w:line="276"/>
      </w:pPr>
      <w:r>
        <w:rPr>
          <w:b/>
          <w:bCs/>
        </w:rPr>
        <w:t xml:space="preserve">Dominant buckets: </w:t>
      </w:r>
      <w:r>
        <w:t xml:space="preserve">contact data and email infrastructure (inboxes + domains + platform).</w:t>
      </w:r>
    </w:p>
    <w:p>
      <w:pPr>
        <w:pStyle w:val="ListParagraph"/>
        <w:numPr>
          <w:ilvl w:val="0"/>
          <w:numId w:val="3"/>
        </w:numPr>
        <w:spacing w:after="66" w:line="276"/>
      </w:pPr>
      <w:r>
        <w:rPr>
          <w:b/>
          <w:bCs/>
        </w:rPr>
        <w:t xml:space="preserve">Excluded by instruction: </w:t>
      </w:r>
      <w:r>
        <w:t xml:space="preserve">Railway, Vercel, Supabase, and the coding subscription — fixed overhead, not per-customer cost.</w:t>
      </w:r>
    </w:p>
    <w:p>
      <w:pPr>
        <w:pStyle w:val="ListParagraph"/>
        <w:numPr>
          <w:ilvl w:val="0"/>
          <w:numId w:val="3"/>
        </w:numPr>
        <w:spacing w:after="66" w:line="276"/>
      </w:pPr>
      <w:r>
        <w:rPr>
          <w:b/>
          <w:bCs/>
        </w:rPr>
        <w:t xml:space="preserve">Pricing headroom: </w:t>
      </w:r>
      <w:r>
        <w:t xml:space="preserve">incumbents at $1,500–$2,000/customer; our cost ~$500–$1,100 — room to undercut and still profit.</w:t>
      </w:r>
    </w:p>
    <w:p>
      <w:pPr>
        <w:spacing w:after="60"/>
      </w:pPr>
      <w:r>
        <w:t xml:space="preserve"/>
      </w:r>
    </w:p>
    <w:p>
      <w:pPr>
        <w:spacing w:after="140" w:line="278"/>
      </w:pPr>
      <w:r>
        <w:rPr>
          <w:b/>
          <w:bCs/>
        </w:rPr>
        <w:t xml:space="preserve">Bottom line: </w:t>
      </w:r>
      <w:r>
        <w:t xml:space="preserve"/>
      </w:r>
      <w:r>
        <w:t xml:space="preserve">the product is cheap to run if — and only if — we filter before spending, route AI work to cheap models, and treat data and deliverability as the real cost centers. Done that way, a typical customer costs a few hundred to about a thousand dollars a month to serve, leaving comfortable room to price below the incumbents and win the market on cost.</w:t>
      </w:r>
    </w:p>
    <w:p>
      <w:pPr>
        <w:spacing w:after="60"/>
      </w:pPr>
      <w:r>
        <w:t xml:space="preserve"/>
      </w:r>
    </w:p>
    <w:p>
      <w:pPr>
        <w:pBdr>
          <w:top w:val="single" w:color="C9C9C9" w:sz="4" w:space="6"/>
        </w:pBdr>
        <w:spacing w:before="160"/>
      </w:pPr>
      <w:r>
        <w:rPr>
          <w:i/>
          <w:iCs/>
          <w:color w:val="555555"/>
          <w:sz w:val="18"/>
          <w:szCs w:val="18"/>
        </w:rPr>
        <w:t xml:space="preserve">Figures are current 2026 market pricing and will vary with vendor, negotiated volume rates, and actual send/enrichment ratios. Treat as planning ranges.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Internal — 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70"/>
      </w:pPr>
    </w:lvl>
    <w:lvl w:ilvl="1" w15:tentative="1">
      <w:start w:val="1"/>
      <w:numFmt w:val="bullet"/>
      <w:lvlText w:val="–"/>
      <w:lvlJc w:val="left"/>
      <w:pPr>
        <w:ind w:left="1040" w:hanging="270"/>
      </w:pPr>
    </w:lvl>
  </w:abstractNum>
  <w:abstractNum w:abstractNumId="3" w15:restartNumberingAfterBreak="0">
    <w:multiLevelType w:val="hybridMultilevel"/>
    <w:lvl w:ilvl="0" w15:tentative="1">
      <w:start w:val="1"/>
      <w:numFmt w:val="decimal"/>
      <w:lvlText w:val="%1."/>
      <w:lvlJc w:val="left"/>
      <w:pPr>
        <w:ind w:left="520" w:hanging="27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A1A1A"/>
      <w:sz w:val="29"/>
      <w:szCs w:val="29"/>
    </w:rPr>
  </w:style>
  <w:style w:type="paragraph" w:styleId="Heading2">
    <w:name w:val="Heading 2"/>
    <w:basedOn w:val="Normal"/>
    <w:next w:val="Normal"/>
    <w:qFormat/>
    <w:pPr>
      <w:spacing w:after="110" w:before="200"/>
      <w:outlineLvl w:val="1"/>
    </w:pPr>
    <w:rPr>
      <w:rFonts w:ascii="Arial" w:cs="Arial" w:eastAsia="Arial" w:hAnsi="Arial"/>
      <w:b/>
      <w:bCs/>
      <w:color w:val="1F4E79"/>
      <w:sz w:val="24"/>
      <w:szCs w:val="24"/>
    </w:rPr>
  </w:style>
  <w:style w:type="paragraph" w:styleId="Heading3">
    <w:name w:val="Heading 3"/>
    <w:basedOn w:val="Normal"/>
    <w:next w:val="Normal"/>
    <w:qFormat/>
    <w:pPr>
      <w:spacing w:after="66" w:before="140"/>
      <w:outlineLvl w:val="2"/>
    </w:pPr>
    <w:rPr>
      <w:rFonts w:ascii="Arial" w:cs="Arial" w:eastAsia="Arial" w:hAnsi="Arial"/>
      <w:b/>
      <w:bCs/>
      <w:color w:val="2B2F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Sales Agent — Cost &amp; Unit Economics Report</dc:title>
  <dc:creator>Engineering</dc:creator>
  <cp:lastModifiedBy>Un-named</cp:lastModifiedBy>
  <cp:revision>1</cp:revision>
  <dcterms:created xsi:type="dcterms:W3CDTF">2026-06-04T11:40:08.083Z</dcterms:created>
  <dcterms:modified xsi:type="dcterms:W3CDTF">2026-06-04T11:40:08.083Z</dcterms:modified>
</cp:coreProperties>
</file>

<file path=docProps/custom.xml><?xml version="1.0" encoding="utf-8"?>
<Properties xmlns="http://schemas.openxmlformats.org/officeDocument/2006/custom-properties" xmlns:vt="http://schemas.openxmlformats.org/officeDocument/2006/docPropsVTypes"/>
</file>