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 Case Diagram</w:t>
      </w:r>
    </w:p>
    <w:p>
      <w:r>
        <w:rPr>
          <w:sz w:val="22"/>
        </w:rPr>
        <w:t>These figures follow the same UML-style illustration pattern as the inventory reference: actors on the left, a large system boundary oval, teal primary use case ovals, and dashed &lt;&lt;include&gt;&gt; / &lt;&lt;extend&gt;&gt; dependencies to supporting use cases on the right. Labels are expanded to mirror the paper’s use case list and events table (group A–G), split across multiple diagrams so the layout stays readable.</w:t>
      </w:r>
    </w:p>
    <w:p>
      <w:pPr>
        <w:pStyle w:val="Heading1"/>
      </w:pPr>
      <w:r>
        <w:t>Figure 1 — Customer: Access &amp; Session</w:t>
      </w:r>
    </w:p>
    <w:p>
      <w:r>
        <w:drawing>
          <wp:inline xmlns:a="http://schemas.openxmlformats.org/drawingml/2006/main" xmlns:pic="http://schemas.openxmlformats.org/drawingml/2006/picture">
            <wp:extent cx="5897880" cy="424647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97880" cy="4246474"/>
                    </a:xfrm>
                    <a:prstGeom prst="rect"/>
                  </pic:spPr>
                </pic:pic>
              </a:graphicData>
            </a:graphic>
          </wp:inline>
        </w:drawing>
      </w:r>
    </w:p>
    <w:p>
      <w:pPr>
        <w:pStyle w:val="Heading1"/>
      </w:pPr>
      <w:r>
        <w:t>Figure 2 — Customer: Dashboard &amp; Order Visibility</w:t>
      </w:r>
    </w:p>
    <w:p>
      <w:r>
        <w:drawing>
          <wp:inline xmlns:a="http://schemas.openxmlformats.org/drawingml/2006/main" xmlns:pic="http://schemas.openxmlformats.org/drawingml/2006/picture">
            <wp:extent cx="5897880" cy="424647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97880" cy="4246474"/>
                    </a:xfrm>
                    <a:prstGeom prst="rect"/>
                  </pic:spPr>
                </pic:pic>
              </a:graphicData>
            </a:graphic>
          </wp:inline>
        </w:drawing>
      </w:r>
    </w:p>
    <w:p>
      <w:pPr>
        <w:pStyle w:val="Heading1"/>
      </w:pPr>
      <w:r>
        <w:t>Figure 3 — Customer: POS Configuration (Pricing &amp; Fulfillment)</w:t>
      </w:r>
    </w:p>
    <w:p>
      <w:r>
        <w:drawing>
          <wp:inline xmlns:a="http://schemas.openxmlformats.org/drawingml/2006/main" xmlns:pic="http://schemas.openxmlformats.org/drawingml/2006/picture">
            <wp:extent cx="5897880" cy="424647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97880" cy="4246474"/>
                    </a:xfrm>
                    <a:prstGeom prst="rect"/>
                  </pic:spPr>
                </pic:pic>
              </a:graphicData>
            </a:graphic>
          </wp:inline>
        </w:drawing>
      </w:r>
    </w:p>
    <w:p>
      <w:pPr>
        <w:pStyle w:val="Heading1"/>
      </w:pPr>
      <w:r>
        <w:t>Figure 4 — Customer: POS Design, Date &amp; References</w:t>
      </w:r>
    </w:p>
    <w:p>
      <w:r>
        <w:drawing>
          <wp:inline xmlns:a="http://schemas.openxmlformats.org/drawingml/2006/main" xmlns:pic="http://schemas.openxmlformats.org/drawingml/2006/picture">
            <wp:extent cx="5897880" cy="424647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97880" cy="4246474"/>
                    </a:xfrm>
                    <a:prstGeom prst="rect"/>
                  </pic:spPr>
                </pic:pic>
              </a:graphicData>
            </a:graphic>
          </wp:inline>
        </w:drawing>
      </w:r>
    </w:p>
    <w:p>
      <w:pPr>
        <w:pStyle w:val="Heading1"/>
      </w:pPr>
      <w:r>
        <w:t>Figure 5 — Customer: Cart, Checkout &amp; Confirmation</w:t>
      </w:r>
    </w:p>
    <w:p>
      <w:r>
        <w:drawing>
          <wp:inline xmlns:a="http://schemas.openxmlformats.org/drawingml/2006/main" xmlns:pic="http://schemas.openxmlformats.org/drawingml/2006/picture">
            <wp:extent cx="5897880" cy="424647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97880" cy="4246474"/>
                    </a:xfrm>
                    <a:prstGeom prst="rect"/>
                  </pic:spPr>
                </pic:pic>
              </a:graphicData>
            </a:graphic>
          </wp:inline>
        </w:drawing>
      </w:r>
    </w:p>
    <w:p>
      <w:pPr>
        <w:pStyle w:val="Heading1"/>
      </w:pPr>
      <w:r>
        <w:t>Figure 6 — Customer: Receipts &amp; PDF Export</w:t>
      </w:r>
    </w:p>
    <w:p>
      <w:r>
        <w:drawing>
          <wp:inline xmlns:a="http://schemas.openxmlformats.org/drawingml/2006/main" xmlns:pic="http://schemas.openxmlformats.org/drawingml/2006/picture">
            <wp:extent cx="5897880" cy="424647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97880" cy="4246474"/>
                    </a:xfrm>
                    <a:prstGeom prst="rect"/>
                  </pic:spPr>
                </pic:pic>
              </a:graphicData>
            </a:graphic>
          </wp:inline>
        </w:drawing>
      </w:r>
    </w:p>
    <w:p>
      <w:pPr>
        <w:pStyle w:val="Heading1"/>
      </w:pPr>
      <w:r>
        <w:t>Figure 7 — Admin/Staff: Access, Session &amp; Dashboard</w:t>
      </w:r>
    </w:p>
    <w:p>
      <w:r>
        <w:drawing>
          <wp:inline xmlns:a="http://schemas.openxmlformats.org/drawingml/2006/main" xmlns:pic="http://schemas.openxmlformats.org/drawingml/2006/picture">
            <wp:extent cx="5897880" cy="424647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97880" cy="4246474"/>
                    </a:xfrm>
                    <a:prstGeom prst="rect"/>
                  </pic:spPr>
                </pic:pic>
              </a:graphicData>
            </a:graphic>
          </wp:inline>
        </w:drawing>
      </w:r>
    </w:p>
    <w:p>
      <w:pPr>
        <w:pStyle w:val="Heading1"/>
      </w:pPr>
      <w:r>
        <w:t>Figure 8 — Admin/Staff: Orders Management</w:t>
      </w:r>
    </w:p>
    <w:p>
      <w:r>
        <w:drawing>
          <wp:inline xmlns:a="http://schemas.openxmlformats.org/drawingml/2006/main" xmlns:pic="http://schemas.openxmlformats.org/drawingml/2006/picture">
            <wp:extent cx="5897880" cy="424647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97880" cy="4246474"/>
                    </a:xfrm>
                    <a:prstGeom prst="rect"/>
                  </pic:spPr>
                </pic:pic>
              </a:graphicData>
            </a:graphic>
          </wp:inline>
        </w:drawing>
      </w:r>
    </w:p>
    <w:p>
      <w:pPr>
        <w:pStyle w:val="Heading1"/>
      </w:pPr>
      <w:r>
        <w:t>Figure 9 — Admin/Staff: Inventory Management</w:t>
      </w:r>
    </w:p>
    <w:p>
      <w:r>
        <w:drawing>
          <wp:inline xmlns:a="http://schemas.openxmlformats.org/drawingml/2006/main" xmlns:pic="http://schemas.openxmlformats.org/drawingml/2006/picture">
            <wp:extent cx="5897880" cy="424647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97880" cy="4246474"/>
                    </a:xfrm>
                    <a:prstGeom prst="rect"/>
                  </pic:spPr>
                </pic:pic>
              </a:graphicData>
            </a:graphic>
          </wp:inline>
        </w:drawing>
      </w:r>
    </w:p>
    <w:p>
      <w:pPr>
        <w:pStyle w:val="Heading1"/>
      </w:pPr>
      <w:r>
        <w:t>Figure 10 — Admin/Staff: Records Management</w:t>
      </w:r>
    </w:p>
    <w:p>
      <w:r>
        <w:drawing>
          <wp:inline xmlns:a="http://schemas.openxmlformats.org/drawingml/2006/main" xmlns:pic="http://schemas.openxmlformats.org/drawingml/2006/picture">
            <wp:extent cx="5897880" cy="424647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97880" cy="4246474"/>
                    </a:xfrm>
                    <a:prstGeom prst="rect"/>
                  </pic:spPr>
                </pic:pic>
              </a:graphicData>
            </a:graphic>
          </wp:inline>
        </w:drawing>
      </w:r>
    </w:p>
    <w:p>
      <w:r>
        <w:rPr>
          <w:b/>
        </w:rPr>
        <w:t>Actor naming (</w:t>
      </w:r>
      <w:r>
        <w:t>Admin/Staff</w:t>
      </w:r>
      <w:r>
        <w:rPr>
          <w:b/>
        </w:rPr>
        <w:t xml:space="preserve">): </w:t>
      </w:r>
      <w:r>
        <w:t>The back office is drawn as a single actor labeled Admin/Staff to reflect that operational employees share one administrative application surface, while the events table still refers to an Admin user as the authenticated party. If your instructor prefers strict UML, you may rename the actor to Admin only; the underlying behavior is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