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82147d57b59f14bb9e73e211f6a9b59a9b690b8"/>
    <w:p>
      <w:pPr>
        <w:pStyle w:val="Heading1"/>
      </w:pPr>
      <w:r>
        <w:t xml:space="preserve">Blackletter Systems – Masterplan, Setup &amp; Agent Runbooks</w:t>
      </w:r>
    </w:p>
    <w:p>
      <w:pPr>
        <w:pStyle w:val="FirstParagraph"/>
      </w:pPr>
      <w:r>
        <w:rPr>
          <w:b/>
          <w:bCs/>
        </w:rPr>
        <w:t xml:space="preserve">Tagline:</w:t>
      </w:r>
      <w:r>
        <w:t xml:space="preserve"> </w:t>
      </w:r>
      <w:r>
        <w:rPr>
          <w:i/>
          <w:iCs/>
        </w:rPr>
        <w:t xml:space="preserve">Old rules. New game.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Blackletter Systems blends traditional legal expertise with cutting-edge AI automation to deliver end-to-end workflows that save time, reduce cost, and give clients a decisive edge.</w:t>
      </w:r>
    </w:p>
    <w:p>
      <w:r>
        <w:pict>
          <v:rect style="width:0;height:1.5pt" o:hralign="center" o:hrstd="t" o:hr="t"/>
        </w:pict>
      </w:r>
    </w:p>
    <w:bookmarkEnd w:id="20"/>
    <w:bookmarkStart w:id="21" w:name="stage-1-getting-set-up-beginner-friendly"/>
    <w:p>
      <w:pPr>
        <w:pStyle w:val="Heading2"/>
      </w:pPr>
      <w:r>
        <w:t xml:space="preserve">Stage 1 – Getting Set Up (Beginner-Friendly)</w:t>
      </w:r>
    </w:p>
    <w:p>
      <w:pPr>
        <w:pStyle w:val="FirstParagraph"/>
      </w:pPr>
      <w:r>
        <w:t xml:space="preserve">Before launching services, lay down the foundations: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Business Email &amp; Domain</w:t>
      </w:r>
      <w:r>
        <w:t xml:space="preserve"> </w:t>
      </w:r>
      <w:r>
        <w:t xml:space="preserve">– Domain + pro email (Zoho Mail free tier or Google Workspace).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Website</w:t>
      </w:r>
      <w:r>
        <w:t xml:space="preserve"> </w:t>
      </w:r>
      <w:r>
        <w:t xml:space="preserve">– No-code site (Google Sites, Carrd, Webflow) with offers, demos, contact forms.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CRM</w:t>
      </w:r>
      <w:r>
        <w:t xml:space="preserve"> </w:t>
      </w:r>
      <w:r>
        <w:t xml:space="preserve">– HubSpot Free CRM or Zoho CRM for leads, deals, sequences.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File Storage</w:t>
      </w:r>
      <w:r>
        <w:t xml:space="preserve"> </w:t>
      </w:r>
      <w:r>
        <w:t xml:space="preserve">– Google Drive (15GB free) or OneDrive; create folders per client/matter.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&amp; Automation Tools</w:t>
      </w:r>
      <w:r>
        <w:t xml:space="preserve"> </w:t>
      </w:r>
      <w:r>
        <w:t xml:space="preserve">– OCR (Tesseract/Google Vision), LLMs (OpenAI/Anthropic), e-sign (DocuSign API), vector DB (Weaviate/Pinecone free tiers).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Payments</w:t>
      </w:r>
      <w:r>
        <w:t xml:space="preserve"> </w:t>
      </w:r>
      <w:r>
        <w:t xml:space="preserve">– Stripe or PayPal (no monthly fee; pay per transaction).</w:t>
      </w:r>
    </w:p>
    <w:p>
      <w:pPr>
        <w:pStyle w:val="FirstParagraph"/>
      </w:pPr>
      <w:r>
        <w:rPr>
          <w:b/>
          <w:bCs/>
        </w:rPr>
        <w:t xml:space="preserve">Time to MVP:</w:t>
      </w:r>
      <w:r>
        <w:t xml:space="preserve"> </w:t>
      </w:r>
      <w:r>
        <w:t xml:space="preserve">3–5 weeks</w:t>
      </w:r>
      <w:r>
        <w:br/>
      </w:r>
      <w:r>
        <w:rPr>
          <w:b/>
          <w:bCs/>
        </w:rPr>
        <w:t xml:space="preserve">Startup Cost:</w:t>
      </w:r>
      <w:r>
        <w:t xml:space="preserve"> </w:t>
      </w:r>
      <w:r>
        <w:t xml:space="preserve">£0–£1,500</w:t>
      </w:r>
      <w:r>
        <w:br/>
      </w:r>
      <w:r>
        <w:rPr>
          <w:b/>
          <w:bCs/>
        </w:rPr>
        <w:t xml:space="preserve">Ongoing Cost:</w:t>
      </w:r>
      <w:r>
        <w:t xml:space="preserve"> </w:t>
      </w:r>
      <w:r>
        <w:t xml:space="preserve">£0–£400/month</w:t>
      </w:r>
    </w:p>
    <w:p>
      <w:r>
        <w:pict>
          <v:rect style="width:0;height:1.5pt" o:hralign="center" o:hrstd="t" o:hr="t"/>
        </w:pict>
      </w:r>
    </w:p>
    <w:bookmarkEnd w:id="21"/>
    <w:bookmarkStart w:id="25" w:name="X45c265da97868cd0a1a22aa11b16c57cb0a79ef"/>
    <w:p>
      <w:pPr>
        <w:pStyle w:val="Heading2"/>
      </w:pPr>
      <w:r>
        <w:t xml:space="preserve">Core Service &amp; Micro-SaaS Offerings with Implementation Details</w:t>
      </w:r>
    </w:p>
    <w:bookmarkStart w:id="22" w:name="X126bc3aa107636015f2cd02c915a6e6bbe40cf6"/>
    <w:p>
      <w:pPr>
        <w:pStyle w:val="Heading3"/>
      </w:pPr>
      <w:r>
        <w:t xml:space="preserve">1. AI Contract Review Micro-SaaS (White-Label + Niche)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SMEs waste hours reviewing NDAs, leases, and standard contracts.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API-based contract review tailored to a specific niche (e.g., AI Lease Checker for Property Lawyers).</w:t>
      </w:r>
      <w:r>
        <w:t xml:space="preserve"> </w:t>
      </w:r>
      <w:r>
        <w:rPr>
          <w:b/>
          <w:bCs/>
        </w:rPr>
        <w:t xml:space="preserve">Agent Implementation:</w:t>
      </w:r>
    </w:p>
    <w:p>
      <w:pPr>
        <w:pStyle w:val="Compact"/>
        <w:numPr>
          <w:ilvl w:val="0"/>
          <w:numId w:val="1002"/>
        </w:numPr>
      </w:pPr>
      <w:r>
        <w:t xml:space="preserve">Backend route:</w:t>
      </w:r>
    </w:p>
    <w:p>
      <w:pPr>
        <w:pStyle w:val="SourceCode"/>
      </w:pP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"/contracts/review"</w:t>
      </w:r>
      <w:r>
        <w:rPr>
          <w:rStyle w:val="NormalTok"/>
        </w:rPr>
        <w:t xml:space="preserve">, response_model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ReviewResult)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review_contract(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 UploadFile, jurisdiction: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Form(...), doc_type: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Form(...)):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OCR → LLM analysis → redlines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ReviewResult(summary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risks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[], redlines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{}, next_actions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[])</w:t>
      </w:r>
    </w:p>
    <w:p>
      <w:pPr>
        <w:pStyle w:val="Compact"/>
        <w:numPr>
          <w:ilvl w:val="0"/>
          <w:numId w:val="1003"/>
        </w:numPr>
      </w:pPr>
      <w:r>
        <w:t xml:space="preserve">Frontend page (</w:t>
      </w:r>
      <w:r>
        <w:rPr>
          <w:rStyle w:val="VerbatimChar"/>
        </w:rPr>
        <w:t xml:space="preserve">app/contracts/page.tsx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&lt;h1&gt;Contract Review&lt;/h1&gt;</w:t>
      </w:r>
      <w:r>
        <w:br/>
      </w:r>
      <w:r>
        <w:rPr>
          <w:rStyle w:val="VerbatimChar"/>
        </w:rPr>
        <w:t xml:space="preserve">&lt;form&gt;</w:t>
      </w:r>
      <w:r>
        <w:br/>
      </w:r>
      <w:r>
        <w:rPr>
          <w:rStyle w:val="VerbatimChar"/>
        </w:rPr>
        <w:t xml:space="preserve">  &lt;input type="file" /&gt;</w:t>
      </w:r>
      <w:r>
        <w:br/>
      </w:r>
      <w:r>
        <w:rPr>
          <w:rStyle w:val="VerbatimChar"/>
        </w:rPr>
        <w:t xml:space="preserve">  &lt;select&gt;&lt;option&gt;UK&lt;/option&gt;&lt;option&gt;EU&lt;/option&gt;&lt;/select&gt;</w:t>
      </w:r>
      <w:r>
        <w:br/>
      </w:r>
      <w:r>
        <w:rPr>
          <w:rStyle w:val="VerbatimChar"/>
        </w:rPr>
        <w:t xml:space="preserve">  &lt;button type="submit"&gt;Upload&lt;/button&gt;</w:t>
      </w:r>
      <w:r>
        <w:br/>
      </w:r>
      <w:r>
        <w:rPr>
          <w:rStyle w:val="VerbatimChar"/>
        </w:rPr>
        <w:t xml:space="preserve">&lt;/form&gt;</w:t>
      </w:r>
    </w:p>
    <w:p>
      <w:pPr>
        <w:pStyle w:val="Compact"/>
        <w:numPr>
          <w:ilvl w:val="0"/>
          <w:numId w:val="1004"/>
        </w:numPr>
      </w:pPr>
      <w:r>
        <w:t xml:space="preserve">Tasks: integrate OCR → clause detection → risk scoring → redline export.</w:t>
      </w:r>
    </w:p>
    <w:bookmarkEnd w:id="22"/>
    <w:bookmarkStart w:id="23" w:name="ai-enhanced-compliance-checklist-service"/>
    <w:p>
      <w:pPr>
        <w:pStyle w:val="Heading3"/>
      </w:pPr>
      <w:r>
        <w:t xml:space="preserve">2. AI-Enhanced Compliance Checklist Service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Legal teams struggle to track and act on scattered regulatory updates.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Paid newsletter or web app generating sector-specific compliance checklists.</w:t>
      </w:r>
      <w:r>
        <w:t xml:space="preserve"> </w:t>
      </w:r>
      <w:r>
        <w:rPr>
          <w:b/>
          <w:bCs/>
        </w:rPr>
        <w:t xml:space="preserve">Agent Implementation:</w:t>
      </w:r>
    </w:p>
    <w:p>
      <w:pPr>
        <w:pStyle w:val="Compact"/>
        <w:numPr>
          <w:ilvl w:val="0"/>
          <w:numId w:val="1005"/>
        </w:numPr>
      </w:pPr>
      <w:r>
        <w:t xml:space="preserve">Backend route:</w:t>
      </w:r>
    </w:p>
    <w:p>
      <w:pPr>
        <w:pStyle w:val="SourceCode"/>
      </w:pP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"/compliance/checklist"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get_checklist(sector: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Fetch updates + summarise into checklist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"sector"</w:t>
      </w:r>
      <w:r>
        <w:rPr>
          <w:rStyle w:val="NormalTok"/>
        </w:rPr>
        <w:t xml:space="preserve">: sector, </w:t>
      </w:r>
      <w:r>
        <w:rPr>
          <w:rStyle w:val="StringTok"/>
        </w:rPr>
        <w:t xml:space="preserve">"updates"</w:t>
      </w:r>
      <w:r>
        <w:rPr>
          <w:rStyle w:val="NormalTok"/>
        </w:rPr>
        <w:t xml:space="preserve">: []}</w:t>
      </w:r>
    </w:p>
    <w:p>
      <w:pPr>
        <w:pStyle w:val="Compact"/>
        <w:numPr>
          <w:ilvl w:val="0"/>
          <w:numId w:val="1006"/>
        </w:numPr>
      </w:pPr>
      <w:r>
        <w:t xml:space="preserve">Frontend page (</w:t>
      </w:r>
      <w:r>
        <w:rPr>
          <w:rStyle w:val="VerbatimChar"/>
        </w:rPr>
        <w:t xml:space="preserve">app/compliance/page.tsx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&lt;h1&gt;Compliance Checklists&lt;/h1&gt;</w:t>
      </w:r>
      <w:r>
        <w:br/>
      </w:r>
      <w:r>
        <w:rPr>
          <w:rStyle w:val="VerbatimChar"/>
        </w:rPr>
        <w:t xml:space="preserve">&lt;p&gt;Sector-specific updates will appear here.&lt;/p&gt;</w:t>
      </w:r>
    </w:p>
    <w:p>
      <w:pPr>
        <w:pStyle w:val="Compact"/>
        <w:numPr>
          <w:ilvl w:val="0"/>
          <w:numId w:val="1007"/>
        </w:numPr>
      </w:pPr>
      <w:r>
        <w:t xml:space="preserve">Tasks: automate Google Alerts/RSS → AI summaries → PDF/dashboard output.</w:t>
      </w:r>
    </w:p>
    <w:bookmarkEnd w:id="23"/>
    <w:bookmarkStart w:id="24" w:name="X2043d9bb7116a53f21a1ebb2b8025b0d1b72498"/>
    <w:p>
      <w:pPr>
        <w:pStyle w:val="Heading3"/>
      </w:pPr>
      <w:r>
        <w:t xml:space="preserve">3. AI Discovery &amp; Research Assistant for Case Law</w:t>
      </w:r>
    </w:p>
    <w:p>
      <w:pPr>
        <w:pStyle w:val="FirstParagraph"/>
      </w:pPr>
      <w:r>
        <w:rPr>
          <w:b/>
          <w:bCs/>
        </w:rPr>
        <w:t xml:space="preserve">Problem:</w:t>
      </w:r>
      <w:r>
        <w:t xml:space="preserve"> </w:t>
      </w:r>
      <w:r>
        <w:t xml:space="preserve">Associates spend excessive time finding relevant precedents.</w:t>
      </w:r>
      <w:r>
        <w:t xml:space="preserve"> </w:t>
      </w:r>
      <w:r>
        <w:rPr>
          <w:b/>
          <w:bCs/>
        </w:rPr>
        <w:t xml:space="preserve">Solution:</w:t>
      </w:r>
      <w:r>
        <w:t xml:space="preserve"> </w:t>
      </w:r>
      <w:r>
        <w:t xml:space="preserve">Fine-tuned LLM or embeddings search over a curated legal corpus.</w:t>
      </w:r>
      <w:r>
        <w:t xml:space="preserve"> </w:t>
      </w:r>
      <w:r>
        <w:rPr>
          <w:b/>
          <w:bCs/>
        </w:rPr>
        <w:t xml:space="preserve">Agent Implementation:</w:t>
      </w:r>
    </w:p>
    <w:p>
      <w:pPr>
        <w:pStyle w:val="Compact"/>
        <w:numPr>
          <w:ilvl w:val="0"/>
          <w:numId w:val="1008"/>
        </w:numPr>
      </w:pPr>
      <w:r>
        <w:t xml:space="preserve">Backend route:</w:t>
      </w:r>
    </w:p>
    <w:p>
      <w:pPr>
        <w:pStyle w:val="SourceCode"/>
      </w:pP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"/research/query"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query_research(question: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area: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Embed → retrieve → summarise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"citations"</w:t>
      </w:r>
      <w:r>
        <w:rPr>
          <w:rStyle w:val="NormalTok"/>
        </w:rPr>
        <w:t xml:space="preserve">: []}</w:t>
      </w:r>
    </w:p>
    <w:p>
      <w:pPr>
        <w:pStyle w:val="Compact"/>
        <w:numPr>
          <w:ilvl w:val="0"/>
          <w:numId w:val="1009"/>
        </w:numPr>
      </w:pPr>
      <w:r>
        <w:t xml:space="preserve">Frontend page (</w:t>
      </w:r>
      <w:r>
        <w:rPr>
          <w:rStyle w:val="VerbatimChar"/>
        </w:rPr>
        <w:t xml:space="preserve">app/research/page.tsx</w:t>
      </w:r>
      <w:r>
        <w:t xml:space="preserve">):</w:t>
      </w:r>
    </w:p>
    <w:p>
      <w:pPr>
        <w:pStyle w:val="SourceCode"/>
      </w:pPr>
      <w:r>
        <w:rPr>
          <w:rStyle w:val="VerbatimChar"/>
        </w:rPr>
        <w:t xml:space="preserve">&lt;h1&gt;Case Law Research&lt;/h1&gt;</w:t>
      </w:r>
      <w:r>
        <w:br/>
      </w:r>
      <w:r>
        <w:rPr>
          <w:rStyle w:val="VerbatimChar"/>
        </w:rPr>
        <w:t xml:space="preserve">&lt;input type="text" placeholder="Ask a legal question" /&gt;</w:t>
      </w:r>
      <w:r>
        <w:br/>
      </w:r>
      <w:r>
        <w:rPr>
          <w:rStyle w:val="VerbatimChar"/>
        </w:rPr>
        <w:t xml:space="preserve">&lt;button&gt;Search&lt;/button&gt;</w:t>
      </w:r>
    </w:p>
    <w:p>
      <w:pPr>
        <w:pStyle w:val="Compact"/>
        <w:numPr>
          <w:ilvl w:val="0"/>
          <w:numId w:val="1010"/>
        </w:numPr>
      </w:pPr>
      <w:r>
        <w:t xml:space="preserve">Tasks: ingest BAILII/legislation.gov.uk → vector DB indexing → semantic search.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Xf4c8f1bf8df629388cf8b078355a2f98f7e481b"/>
    <w:p>
      <w:pPr>
        <w:pStyle w:val="Heading2"/>
      </w:pPr>
      <w:r>
        <w:t xml:space="preserve">Global Technical Standards (Applied to All Services)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Langs:</w:t>
      </w:r>
      <w:r>
        <w:t xml:space="preserve"> </w:t>
      </w:r>
      <w:r>
        <w:t xml:space="preserve">Python 3.11 (backend), TypeScript/Next.js 14 (frontend).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Infra:</w:t>
      </w:r>
      <w:r>
        <w:t xml:space="preserve"> </w:t>
      </w:r>
      <w:r>
        <w:t xml:space="preserve">Windows 11 dev, Docker Desktop optional.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Auth:</w:t>
      </w:r>
      <w:r>
        <w:t xml:space="preserve"> </w:t>
      </w:r>
      <w:r>
        <w:t xml:space="preserve">Clerk/Auth0 or Supabase magic link.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Storage:</w:t>
      </w:r>
      <w:r>
        <w:t xml:space="preserve"> </w:t>
      </w:r>
      <w:r>
        <w:t xml:space="preserve">PostgreSQL (Supabase) or SQLite MVP; Supabase Storage for files.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LLMs:</w:t>
      </w:r>
      <w:r>
        <w:t xml:space="preserve"> </w:t>
      </w:r>
      <w:r>
        <w:t xml:space="preserve">OpenAI + Anthropic fallback.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Vectors:</w:t>
      </w:r>
      <w:r>
        <w:t xml:space="preserve"> </w:t>
      </w:r>
      <w:r>
        <w:t xml:space="preserve">Weaviate/Pinecone free tier.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Security: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for secrets, GDPR compliance, audit logs.</w:t>
      </w:r>
    </w:p>
    <w:p>
      <w:r>
        <w:pict>
          <v:rect style="width:0;height:1.5pt" o:hralign="center" o:hrstd="t" o:hr="t"/>
        </w:pict>
      </w:r>
    </w:p>
    <w:bookmarkEnd w:id="26"/>
    <w:bookmarkStart w:id="27" w:name="monetisation-potential"/>
    <w:p>
      <w:pPr>
        <w:pStyle w:val="Heading2"/>
      </w:pPr>
      <w:r>
        <w:t xml:space="preserve">Monetisation Potential</w:t>
      </w:r>
    </w:p>
    <w:p>
      <w:pPr>
        <w:pStyle w:val="Compact"/>
        <w:numPr>
          <w:ilvl w:val="0"/>
          <w:numId w:val="1012"/>
        </w:numPr>
      </w:pPr>
      <w:r>
        <w:t xml:space="preserve">SaaS subscriptions.</w:t>
      </w:r>
    </w:p>
    <w:p>
      <w:pPr>
        <w:pStyle w:val="Compact"/>
        <w:numPr>
          <w:ilvl w:val="0"/>
          <w:numId w:val="1012"/>
        </w:numPr>
      </w:pPr>
      <w:r>
        <w:t xml:space="preserve">Done-for-you consulting.</w:t>
      </w:r>
    </w:p>
    <w:p>
      <w:pPr>
        <w:pStyle w:val="Compact"/>
        <w:numPr>
          <w:ilvl w:val="0"/>
          <w:numId w:val="1012"/>
        </w:numPr>
      </w:pPr>
      <w:r>
        <w:t xml:space="preserve">Licensing automated workflows to firms.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Blackletter Systems</w:t>
      </w:r>
      <w:r>
        <w:t xml:space="preserve"> </w:t>
      </w:r>
      <w:r>
        <w:t xml:space="preserve">turns complex legal work into fast, precise, and profitable automated solutions—now with each service mapped to its own API route and frontend scaffold.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2025-08-11T14:12:10Z</dcterms:created>
  <dcterms:modified xsi:type="dcterms:W3CDTF">2025-08-11T14:12:10Z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