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71BE7A" w14:textId="77777777" w:rsidR="00B23131" w:rsidRPr="00B23131" w:rsidRDefault="00B23131" w:rsidP="00B23131">
      <w:pPr>
        <w:pStyle w:val="p1"/>
        <w:spacing w:line="480" w:lineRule="auto"/>
        <w:jc w:val="both"/>
        <w:rPr>
          <w:sz w:val="22"/>
          <w:szCs w:val="22"/>
        </w:rPr>
      </w:pPr>
    </w:p>
    <w:p w14:paraId="79D17540" w14:textId="77777777" w:rsidR="00B23131" w:rsidRPr="00B23131" w:rsidRDefault="00B23131" w:rsidP="00B23131">
      <w:pPr>
        <w:pStyle w:val="p1"/>
        <w:spacing w:line="480" w:lineRule="auto"/>
        <w:ind w:firstLine="720"/>
        <w:jc w:val="both"/>
        <w:rPr>
          <w:sz w:val="22"/>
          <w:szCs w:val="22"/>
        </w:rPr>
      </w:pPr>
    </w:p>
    <w:p w14:paraId="04402B4C" w14:textId="0341C540" w:rsidR="00B23131" w:rsidRPr="00B23131" w:rsidRDefault="00B23131" w:rsidP="00B23131">
      <w:pPr>
        <w:pStyle w:val="p1"/>
        <w:spacing w:line="480" w:lineRule="auto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Model</w:t>
      </w:r>
      <w:r w:rsidRPr="00B23131">
        <w:rPr>
          <w:sz w:val="22"/>
          <w:szCs w:val="22"/>
        </w:rPr>
        <w:t xml:space="preserve">-predicted plasma xylazine concentrations over time during the recovery period following post-anesthetic bolus administration. Horses received either saline solution (SS), xylazine 0.15 </w:t>
      </w:r>
      <w:r w:rsidR="00FA4689">
        <w:t>mg kg</w:t>
      </w:r>
      <w:r w:rsidR="00FA4689" w:rsidRPr="00200E90">
        <w:rPr>
          <w:vertAlign w:val="superscript"/>
        </w:rPr>
        <w:t>-1</w:t>
      </w:r>
      <w:r w:rsidR="00FA4689" w:rsidRPr="00B23131">
        <w:rPr>
          <w:sz w:val="22"/>
          <w:szCs w:val="22"/>
        </w:rPr>
        <w:t xml:space="preserve"> </w:t>
      </w:r>
      <w:r w:rsidRPr="00B23131">
        <w:rPr>
          <w:sz w:val="22"/>
          <w:szCs w:val="22"/>
        </w:rPr>
        <w:t xml:space="preserve">(X0.15), or xylazine 0.30 </w:t>
      </w:r>
      <w:r w:rsidR="00FA4689">
        <w:t>mg kg</w:t>
      </w:r>
      <w:r w:rsidR="00FA4689" w:rsidRPr="00200E90">
        <w:rPr>
          <w:vertAlign w:val="superscript"/>
        </w:rPr>
        <w:t>-1</w:t>
      </w:r>
      <w:r w:rsidR="00FA4689" w:rsidRPr="00B23131">
        <w:rPr>
          <w:sz w:val="22"/>
          <w:szCs w:val="22"/>
        </w:rPr>
        <w:t xml:space="preserve"> </w:t>
      </w:r>
      <w:r w:rsidRPr="00B23131">
        <w:rPr>
          <w:sz w:val="22"/>
          <w:szCs w:val="22"/>
        </w:rPr>
        <w:t>(X0.30) at the end of isoflurane–xylazine PIVA. Model-predicted intervals (10th–90th percentiles) are shown in blue, with the median (50th percentile) represented in pink. Observed data percentiles (10th, 50th, and 90th) are displayed as solid blue lines.</w:t>
      </w:r>
    </w:p>
    <w:p w14:paraId="40820B8F" w14:textId="2731CBBA" w:rsidR="002D7142" w:rsidRDefault="00310D67">
      <w:r>
        <w:rPr>
          <w:noProof/>
        </w:rPr>
        <w:drawing>
          <wp:inline distT="0" distB="0" distL="0" distR="0" wp14:anchorId="3C6169A6" wp14:editId="23342E1E">
            <wp:extent cx="5943600" cy="4487545"/>
            <wp:effectExtent l="0" t="0" r="0" b="8255"/>
            <wp:docPr id="986499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99020" name="Imagen 9864990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31"/>
    <w:rsid w:val="002D7142"/>
    <w:rsid w:val="00310D67"/>
    <w:rsid w:val="004A4DDA"/>
    <w:rsid w:val="007035EA"/>
    <w:rsid w:val="007B1D6A"/>
    <w:rsid w:val="00884BDD"/>
    <w:rsid w:val="009200DA"/>
    <w:rsid w:val="00B23131"/>
    <w:rsid w:val="00D15A80"/>
    <w:rsid w:val="00D72176"/>
    <w:rsid w:val="00E55B0E"/>
    <w:rsid w:val="00FA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E0038"/>
  <w15:chartTrackingRefBased/>
  <w15:docId w15:val="{8F563F24-9785-4140-BD08-D9175296D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13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23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Medina Bautista</dc:creator>
  <cp:keywords/>
  <dc:description/>
  <cp:lastModifiedBy>Francisco Medina Bautista</cp:lastModifiedBy>
  <cp:revision>2</cp:revision>
  <dcterms:created xsi:type="dcterms:W3CDTF">2026-06-25T01:01:00Z</dcterms:created>
  <dcterms:modified xsi:type="dcterms:W3CDTF">2026-06-25T01:01:00Z</dcterms:modified>
</cp:coreProperties>
</file>