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6" w:name="content"/>
    <w:bookmarkStart w:id="55" w:name="Xc481f26c6a2e2b6aa6c4bc836ae5fddf2ff734d"/>
    <w:p>
      <w:pPr>
        <w:pStyle w:val="Heading1"/>
      </w:pPr>
      <w:r>
        <w:t xml:space="preserve">Linking DAO Governance Participation to Token Performance: A Statistical Framework</w:t>
      </w:r>
    </w:p>
    <w:bookmarkStart w:id="27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Decentralised autonomous organisations (DAOs) are an organisational form in</w:t>
      </w:r>
      <w:r>
        <w:t xml:space="preserve"> </w:t>
      </w:r>
      <w:r>
        <w:t xml:space="preserve">which decision making is encoded in smart contracts and executed by a</w:t>
      </w:r>
      <w:r>
        <w:t xml:space="preserve"> </w:t>
      </w:r>
      <w:r>
        <w:t xml:space="preserve">distributed community. Because most governance actions are public on the</w:t>
      </w:r>
      <w:r>
        <w:t xml:space="preserve"> </w:t>
      </w:r>
      <w:r>
        <w:t xml:space="preserve">blockchain, researchers have access to rich data on voter turnout,</w:t>
      </w:r>
      <w:r>
        <w:t xml:space="preserve"> </w:t>
      </w:r>
      <w:r>
        <w:t xml:space="preserve">proposal creation and treasury management. A recurring question among</w:t>
      </w:r>
      <w:r>
        <w:t xml:space="preserve"> </w:t>
      </w:r>
      <w:r>
        <w:t xml:space="preserve">practitioners and academics is whether the intensity of community</w:t>
      </w:r>
      <w:r>
        <w:t xml:space="preserve"> </w:t>
      </w:r>
      <w:r>
        <w:t xml:space="preserve">participation is reflected in market valuations: do tokens issued by</w:t>
      </w:r>
      <w:r>
        <w:t xml:space="preserve"> </w:t>
      </w:r>
      <w:r>
        <w:t xml:space="preserve">actively governed DAOs perform differently from those whose proposals</w:t>
      </w:r>
      <w:r>
        <w:t xml:space="preserve"> </w:t>
      </w:r>
      <w:r>
        <w:t xml:space="preserve">attract little attention? Answering this question empirically requires a</w:t>
      </w:r>
      <w:r>
        <w:t xml:space="preserve"> </w:t>
      </w:r>
      <w:r>
        <w:t xml:space="preserve">careful definition of governance participation and a robust statistical</w:t>
      </w:r>
      <w:r>
        <w:t xml:space="preserve"> </w:t>
      </w:r>
      <w:r>
        <w:t xml:space="preserve">framework that is not biased by the idiosyncrasies of individual</w:t>
      </w:r>
      <w:r>
        <w:t xml:space="preserve"> </w:t>
      </w:r>
      <w:r>
        <w:t xml:space="preserve">projects. The present study proposes such a framework using the</w:t>
      </w:r>
      <w:r>
        <w:t xml:space="preserve"> </w:t>
      </w:r>
      <w:r>
        <w:t xml:space="preserve">DeepDAO API as the primary data source and a manual linkage to token</w:t>
      </w:r>
      <w:r>
        <w:t xml:space="preserve"> </w:t>
      </w:r>
      <w:r>
        <w:t xml:space="preserve">price data from Token Terminal.</w:t>
      </w:r>
    </w:p>
    <w:bookmarkStart w:id="23" w:name="motivation-and-research-question"/>
    <w:p>
      <w:pPr>
        <w:pStyle w:val="Heading3"/>
      </w:pPr>
      <w:r>
        <w:t xml:space="preserve">Motivation and research question</w:t>
      </w:r>
    </w:p>
    <w:p>
      <w:pPr>
        <w:pStyle w:val="FirstParagraph"/>
      </w:pPr>
      <w:r>
        <w:t xml:space="preserve">The core idea of decentralised governance is to allocate decision making</w:t>
      </w:r>
      <w:r>
        <w:t xml:space="preserve"> </w:t>
      </w:r>
      <w:r>
        <w:t xml:space="preserve">power to the community of token holders or contributors.</w:t>
      </w:r>
      <w:r>
        <w:t xml:space="preserve"> </w:t>
      </w:r>
      <w:r>
        <w:rPr>
          <w:i/>
          <w:iCs/>
        </w:rPr>
        <w:t xml:space="preserve">Web3</w:t>
      </w:r>
      <w:r>
        <w:rPr>
          <w:i/>
          <w:iCs/>
        </w:rPr>
        <w:t xml:space="preserve"> </w:t>
      </w:r>
      <w:r>
        <w:rPr>
          <w:i/>
          <w:iCs/>
        </w:rPr>
        <w:t xml:space="preserve">governance refers to the decision‑making process for a decentralised</w:t>
      </w:r>
      <w:r>
        <w:rPr>
          <w:i/>
          <w:iCs/>
        </w:rPr>
        <w:t xml:space="preserve"> </w:t>
      </w:r>
      <w:r>
        <w:rPr>
          <w:i/>
          <w:iCs/>
        </w:rPr>
        <w:t xml:space="preserve">system</w:t>
      </w:r>
      <w:hyperlink r:id="rId21">
        <w:r>
          <w:rPr>
            <w:rStyle w:val="Hyperlink"/>
          </w:rPr>
          <w:t xml:space="preserve">[1]</w:t>
        </w:r>
      </w:hyperlink>
      <w:r>
        <w:t xml:space="preserve">. It determines how consensus is formed and</w:t>
      </w:r>
      <w:r>
        <w:t xml:space="preserve"> </w:t>
      </w:r>
      <w:r>
        <w:t xml:space="preserve">the degree to which the community can influence the direction of a</w:t>
      </w:r>
      <w:r>
        <w:t xml:space="preserve"> </w:t>
      </w:r>
      <w:r>
        <w:t xml:space="preserve">project. Community governance can decentralise a project, improve</w:t>
      </w:r>
      <w:r>
        <w:t xml:space="preserve"> </w:t>
      </w:r>
      <w:r>
        <w:t xml:space="preserve">resilience and create a tighter feedback loop with users, ultimately</w:t>
      </w:r>
      <w:r>
        <w:t xml:space="preserve"> </w:t>
      </w:r>
      <w:r>
        <w:t xml:space="preserve">fostering engagement</w:t>
      </w:r>
      <w:hyperlink r:id="rId22">
        <w:r>
          <w:rPr>
            <w:rStyle w:val="Hyperlink"/>
          </w:rPr>
          <w:t xml:space="preserve">[2]</w:t>
        </w:r>
      </w:hyperlink>
      <w:r>
        <w:t xml:space="preserve">. However, active</w:t>
      </w:r>
      <w:r>
        <w:t xml:space="preserve"> </w:t>
      </w:r>
      <w:r>
        <w:t xml:space="preserve">participation also imposes costs on voters, such as keeping abreast of</w:t>
      </w:r>
      <w:r>
        <w:t xml:space="preserve"> </w:t>
      </w:r>
      <w:r>
        <w:t xml:space="preserve">complex proposals, paying transaction fees (where voting is on‑chain)</w:t>
      </w:r>
      <w:r>
        <w:t xml:space="preserve"> </w:t>
      </w:r>
      <w:r>
        <w:t xml:space="preserve">and exposing one’s position publicly. Voter apathy in many DAOs is</w:t>
      </w:r>
      <w:r>
        <w:t xml:space="preserve"> </w:t>
      </w:r>
      <w:r>
        <w:t xml:space="preserve">well documented: a handful of whales often determine the outcome, and</w:t>
      </w:r>
      <w:r>
        <w:t xml:space="preserve"> </w:t>
      </w:r>
      <w:r>
        <w:t xml:space="preserve">the majority of token holders rarely vote. By measuring and</w:t>
      </w:r>
      <w:r>
        <w:t xml:space="preserve"> </w:t>
      </w:r>
      <w:r>
        <w:t xml:space="preserve">standardising participation metrics across DAOs we can test whether</w:t>
      </w:r>
      <w:r>
        <w:t xml:space="preserve"> </w:t>
      </w:r>
      <w:r>
        <w:t xml:space="preserve">markets discount low engagement or reward active communities.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i/>
          <w:iCs/>
        </w:rPr>
        <w:t xml:space="preserve">research question</w:t>
      </w:r>
      <w:r>
        <w:t xml:space="preserve"> </w:t>
      </w:r>
      <w:r>
        <w:t xml:space="preserve">is therefore:</w:t>
      </w:r>
      <w:r>
        <w:t xml:space="preserve"> </w:t>
      </w:r>
      <w:r>
        <w:rPr>
          <w:b/>
          <w:bCs/>
        </w:rPr>
        <w:t xml:space="preserve">Does the intensity of</w:t>
      </w:r>
      <w:r>
        <w:rPr>
          <w:b/>
          <w:bCs/>
        </w:rPr>
        <w:t xml:space="preserve"> </w:t>
      </w:r>
      <w:r>
        <w:rPr>
          <w:b/>
          <w:bCs/>
        </w:rPr>
        <w:t xml:space="preserve">governance participation, measured as unique voters per proposal,</w:t>
      </w:r>
      <w:r>
        <w:rPr>
          <w:b/>
          <w:bCs/>
        </w:rPr>
        <w:t xml:space="preserve"> </w:t>
      </w:r>
      <w:r>
        <w:rPr>
          <w:b/>
          <w:bCs/>
        </w:rPr>
        <w:t xml:space="preserve">predict subsequent token performance?</w:t>
      </w:r>
      <w:r>
        <w:t xml:space="preserve"> </w:t>
      </w:r>
      <w:r>
        <w:t xml:space="preserve">While the price analysis is</w:t>
      </w:r>
      <w:r>
        <w:t xml:space="preserve"> </w:t>
      </w:r>
      <w:r>
        <w:t xml:space="preserve">beyond the scope of this coding task (prices are imported manually),</w:t>
      </w:r>
      <w:r>
        <w:t xml:space="preserve"> </w:t>
      </w:r>
      <w:r>
        <w:t xml:space="preserve">this report focuses on designing an unbiased sample, extracting</w:t>
      </w:r>
      <w:r>
        <w:t xml:space="preserve"> </w:t>
      </w:r>
      <w:r>
        <w:t xml:space="preserve">governance metrics, standardising them and generating a master dataset</w:t>
      </w:r>
      <w:r>
        <w:t xml:space="preserve"> </w:t>
      </w:r>
      <w:r>
        <w:t xml:space="preserve">for regression analysis.</w:t>
      </w:r>
    </w:p>
    <w:bookmarkEnd w:id="23"/>
    <w:bookmarkStart w:id="26" w:name="contributions"/>
    <w:p>
      <w:pPr>
        <w:pStyle w:val="Heading3"/>
      </w:pPr>
      <w:r>
        <w:t xml:space="preserve">Contributions</w:t>
      </w:r>
    </w:p>
    <w:p>
      <w:pPr>
        <w:pStyle w:val="FirstParagraph"/>
      </w:pPr>
      <w:r>
        <w:t xml:space="preserve">Compared with earlier attempts to rank DAOs by governance activity, this</w:t>
      </w:r>
      <w:r>
        <w:t xml:space="preserve"> </w:t>
      </w:r>
      <w:r>
        <w:t xml:space="preserve">project emphasises four improvements: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Unbiased sample selection.</w:t>
      </w:r>
      <w:r>
        <w:t xml:space="preserve"> </w:t>
      </w:r>
      <w:r>
        <w:t xml:space="preserve">Previous analyses often relied on</w:t>
      </w:r>
      <w:r>
        <w:t xml:space="preserve"> </w:t>
      </w:r>
      <w:r>
        <w:t xml:space="preserve">convenience samples (e.g., only DAOs with readily available price</w:t>
      </w:r>
      <w:r>
        <w:t xml:space="preserve"> </w:t>
      </w:r>
      <w:r>
        <w:t xml:space="preserve">data) and implicitly excluded failed or inactive projects, leading to</w:t>
      </w:r>
      <w:r>
        <w:t xml:space="preserve"> </w:t>
      </w:r>
      <w:r>
        <w:t xml:space="preserve">survivorship bias. Here we start from a universe of top AUM DAOs</w:t>
      </w:r>
      <w:r>
        <w:t xml:space="preserve"> </w:t>
      </w:r>
      <w:r>
        <w:t xml:space="preserve">retrieved via the</w:t>
      </w:r>
      <w:r>
        <w:t xml:space="preserve"> </w:t>
      </w:r>
      <w:r>
        <w:rPr>
          <w:rStyle w:val="VerbatimChar"/>
        </w:rPr>
        <w:t xml:space="preserve">top_aum_organizations</w:t>
      </w:r>
      <w:r>
        <w:t xml:space="preserve"> </w:t>
      </w:r>
      <w:r>
        <w:t xml:space="preserve">endpoint and systematically</w:t>
      </w:r>
      <w:r>
        <w:t xml:space="preserve"> </w:t>
      </w:r>
      <w:r>
        <w:t xml:space="preserve">exclude organisations only when governance data is unavailable or</w:t>
      </w:r>
      <w:r>
        <w:t xml:space="preserve"> </w:t>
      </w:r>
      <w:r>
        <w:t xml:space="preserve">unusable.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Proper standardisation.</w:t>
      </w:r>
      <w:r>
        <w:t xml:space="preserve"> </w:t>
      </w:r>
      <w:r>
        <w:t xml:space="preserve">Simply averaging z‑scores across</w:t>
      </w:r>
      <w:r>
        <w:t xml:space="preserve"> </w:t>
      </w:r>
      <w:r>
        <w:t xml:space="preserve">metrics is mathematically invalid because z‑scores are by</w:t>
      </w:r>
      <w:r>
        <w:t xml:space="preserve"> </w:t>
      </w:r>
      <w:r>
        <w:t xml:space="preserve">construction centred at zero; taking their mean yields zero for any</w:t>
      </w:r>
      <w:r>
        <w:t xml:space="preserve"> </w:t>
      </w:r>
      <w:r>
        <w:t xml:space="preserve">group. We therefore compute a single ratio –</w:t>
      </w:r>
      <w:r>
        <w:t xml:space="preserve"> </w:t>
      </w:r>
      <w:r>
        <w:rPr>
          <w:i/>
          <w:iCs/>
        </w:rPr>
        <w:t xml:space="preserve">unique voters per</w:t>
      </w:r>
      <w:r>
        <w:rPr>
          <w:i/>
          <w:iCs/>
        </w:rPr>
        <w:t xml:space="preserve"> </w:t>
      </w:r>
      <w:r>
        <w:rPr>
          <w:i/>
          <w:iCs/>
        </w:rPr>
        <w:t xml:space="preserve">proposal</w:t>
      </w:r>
      <w:r>
        <w:t xml:space="preserve"> </w:t>
      </w:r>
      <w:r>
        <w:t xml:space="preserve">– and standardise that series via z‑scores. The z‑score</w:t>
      </w:r>
      <w:r>
        <w:t xml:space="preserve"> </w:t>
      </w:r>
      <w:r>
        <w:t xml:space="preserve">transformation converts a raw observation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into the number of</w:t>
      </w:r>
      <w:r>
        <w:t xml:space="preserve"> </w:t>
      </w:r>
      <w:r>
        <w:t xml:space="preserve">standard deviations it lies away from the mean</w:t>
      </w:r>
      <w:hyperlink r:id="rId24">
        <w:r>
          <w:rPr>
            <w:rStyle w:val="Hyperlink"/>
          </w:rPr>
          <w:t xml:space="preserve">[3]</w:t>
        </w:r>
      </w:hyperlink>
      <w:r>
        <w:t xml:space="preserve">.</w:t>
      </w:r>
      <w:r>
        <w:t xml:space="preserve"> </w:t>
      </w:r>
      <w:r>
        <w:t xml:space="preserve">Formally, for raw ratio</w:t>
      </w:r>
      <w:r>
        <w:t xml:space="preserve"> </w:t>
      </w:r>
      <w:r>
        <w:rPr>
          <w:rStyle w:val="VerbatimChar"/>
        </w:rPr>
        <w:t xml:space="preserve">x_t</w:t>
      </w:r>
      <w:r>
        <w:t xml:space="preserve">, the z‑score is defined as</w:t>
      </w:r>
      <w:r>
        <w:t xml:space="preserve"> </w:t>
      </w:r>
      <w:r>
        <w:rPr>
          <w:rStyle w:val="VerbatimChar"/>
        </w:rPr>
        <w:t xml:space="preserve">z_t = (x_t - m) / 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are the mean and standard</w:t>
      </w:r>
      <w:r>
        <w:t xml:space="preserve"> </w:t>
      </w:r>
      <w:r>
        <w:t xml:space="preserve">deviation of all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values for that DAO</w:t>
      </w:r>
      <w:hyperlink r:id="rId25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Monthly aggregation and error logging.</w:t>
      </w:r>
      <w:r>
        <w:t xml:space="preserve"> </w:t>
      </w:r>
      <w:r>
        <w:t xml:space="preserve">Raw DeepDAO data is</w:t>
      </w:r>
      <w:r>
        <w:t xml:space="preserve"> </w:t>
      </w:r>
      <w:r>
        <w:t xml:space="preserve">reported at daily frequency. We aggregate to monthly totals to</w:t>
      </w:r>
      <w:r>
        <w:t xml:space="preserve"> </w:t>
      </w:r>
      <w:r>
        <w:t xml:space="preserve">smooth daily noise and align with typical investment horizons (e.g.,</w:t>
      </w:r>
      <w:r>
        <w:t xml:space="preserve"> </w:t>
      </w:r>
      <w:r>
        <w:t xml:space="preserve">monthly returns). Each month is handled independently; values do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accumulate across months. Every failed API call or missing</w:t>
      </w:r>
      <w:r>
        <w:t xml:space="preserve"> </w:t>
      </w:r>
      <w:r>
        <w:t xml:space="preserve">metric is recorded so that the user can see which organisations were</w:t>
      </w:r>
      <w:r>
        <w:t xml:space="preserve"> </w:t>
      </w:r>
      <w:r>
        <w:t xml:space="preserve">omitted.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Reproducible pipeline.</w:t>
      </w:r>
      <w:r>
        <w:t xml:space="preserve"> </w:t>
      </w:r>
      <w:r>
        <w:t xml:space="preserve">All data extraction and processing steps</w:t>
      </w:r>
      <w:r>
        <w:t xml:space="preserve"> </w:t>
      </w:r>
      <w:r>
        <w:t xml:space="preserve">are encapsulated in a reusable Python module (</w:t>
      </w:r>
      <w:r>
        <w:rPr>
          <w:rStyle w:val="VerbatimChar"/>
        </w:rPr>
        <w:t xml:space="preserve">deepdao_analysis.py</w:t>
      </w:r>
      <w:r>
        <w:t xml:space="preserve">),</w:t>
      </w:r>
      <w:r>
        <w:t xml:space="preserve"> </w:t>
      </w:r>
      <w:r>
        <w:t xml:space="preserve">designed to run in a Jupyter environment. Configuration (date range,</w:t>
      </w:r>
      <w:r>
        <w:t xml:space="preserve"> </w:t>
      </w:r>
      <w:r>
        <w:t xml:space="preserve">number of DAOs, use of</w:t>
      </w:r>
      <w:r>
        <w:t xml:space="preserve"> </w:t>
      </w:r>
      <w:r>
        <w:rPr>
          <w:rStyle w:val="VerbatimChar"/>
        </w:rPr>
        <w:t xml:space="preserve">votes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voters</w:t>
      </w:r>
      <w:r>
        <w:t xml:space="preserve">) is exposed as</w:t>
      </w:r>
      <w:r>
        <w:t xml:space="preserve"> </w:t>
      </w:r>
      <w:r>
        <w:t xml:space="preserve">parameters.</w:t>
      </w:r>
    </w:p>
    <w:bookmarkEnd w:id="26"/>
    <w:bookmarkEnd w:id="27"/>
    <w:bookmarkStart w:id="32" w:name="data-sources-and-sample-selection"/>
    <w:p>
      <w:pPr>
        <w:pStyle w:val="Heading2"/>
      </w:pPr>
      <w:r>
        <w:t xml:space="preserve">Data sources and sample selection</w:t>
      </w:r>
    </w:p>
    <w:bookmarkStart w:id="28" w:name="deepdao-governance-data"/>
    <w:p>
      <w:pPr>
        <w:pStyle w:val="Heading3"/>
      </w:pPr>
      <w:r>
        <w:t xml:space="preserve">DeepDAO governance data</w:t>
      </w:r>
    </w:p>
    <w:p>
      <w:pPr>
        <w:pStyle w:val="FirstParagraph"/>
      </w:pPr>
      <w:r>
        <w:t xml:space="preserve">DeepDAO collects and normalises governance data from on‑chain and</w:t>
      </w:r>
      <w:r>
        <w:t xml:space="preserve"> </w:t>
      </w:r>
      <w:r>
        <w:t xml:space="preserve">off‑chain voting platforms (Snapshot, Tally, etc.). For each</w:t>
      </w:r>
      <w:r>
        <w:t xml:space="preserve"> </w:t>
      </w:r>
      <w:r>
        <w:t xml:space="preserve">organisation (identified by</w:t>
      </w:r>
      <w:r>
        <w:t xml:space="preserve"> </w:t>
      </w:r>
      <w:r>
        <w:rPr>
          <w:rStyle w:val="VerbatimChar"/>
        </w:rPr>
        <w:t xml:space="preserve">organizationId</w:t>
      </w:r>
      <w:r>
        <w:t xml:space="preserve">) it provides daily</w:t>
      </w:r>
      <w:r>
        <w:t xml:space="preserve"> </w:t>
      </w:r>
      <w:r>
        <w:t xml:space="preserve">timeseries of: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Voters.</w:t>
      </w:r>
      <w:r>
        <w:t xml:space="preserve"> </w:t>
      </w:r>
      <w:r>
        <w:t xml:space="preserve">Number of distinct addresses that cast at least one vote</w:t>
      </w:r>
      <w:r>
        <w:t xml:space="preserve"> </w:t>
      </w:r>
      <w:r>
        <w:t xml:space="preserve">on that day. Unique voters are a proxy for community size because</w:t>
      </w:r>
      <w:r>
        <w:t xml:space="preserve"> </w:t>
      </w:r>
      <w:r>
        <w:t xml:space="preserve">they count each participant once, regardless of how many proposals</w:t>
      </w:r>
      <w:r>
        <w:t xml:space="preserve"> </w:t>
      </w:r>
      <w:r>
        <w:t xml:space="preserve">they vote 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Votes.</w:t>
      </w:r>
      <w:r>
        <w:t xml:space="preserve"> </w:t>
      </w:r>
      <w:r>
        <w:t xml:space="preserve">Number of votes cast. This counts each ballot and is</w:t>
      </w:r>
      <w:r>
        <w:t xml:space="preserve"> </w:t>
      </w:r>
      <w:r>
        <w:t xml:space="preserve">often weighted by the voter’s token balance. Because large token</w:t>
      </w:r>
      <w:r>
        <w:t xml:space="preserve"> </w:t>
      </w:r>
      <w:r>
        <w:t xml:space="preserve">holders can cast multiple weighted votes per proposal, vote counts</w:t>
      </w:r>
      <w:r>
        <w:t xml:space="preserve"> </w:t>
      </w:r>
      <w:r>
        <w:t xml:space="preserve">can exaggerate participation. We therefore prefer the</w:t>
      </w:r>
      <w:r>
        <w:t xml:space="preserve"> </w:t>
      </w:r>
      <w:r>
        <w:rPr>
          <w:rStyle w:val="VerbatimChar"/>
        </w:rPr>
        <w:t xml:space="preserve">voters</w:t>
      </w:r>
      <w:r>
        <w:t xml:space="preserve"> </w:t>
      </w:r>
      <w:r>
        <w:t xml:space="preserve">series.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Proposals.</w:t>
      </w:r>
      <w:r>
        <w:t xml:space="preserve"> </w:t>
      </w:r>
      <w:r>
        <w:t xml:space="preserve">Number of governance proposals created. Proposals</w:t>
      </w:r>
      <w:r>
        <w:t xml:space="preserve"> </w:t>
      </w:r>
      <w:r>
        <w:t xml:space="preserve">may be created by core teams or by community members. A high</w:t>
      </w:r>
      <w:r>
        <w:t xml:space="preserve"> </w:t>
      </w:r>
      <w:r>
        <w:t xml:space="preserve">proposal count can inflate vote counts; taking the ratio of voters</w:t>
      </w:r>
      <w:r>
        <w:t xml:space="preserve"> </w:t>
      </w:r>
      <w:r>
        <w:t xml:space="preserve">to proposals adjusts for this.</w:t>
      </w:r>
    </w:p>
    <w:p>
      <w:pPr>
        <w:pStyle w:val="FirstParagraph"/>
      </w:pPr>
      <w:r>
        <w:t xml:space="preserve">The study period runs from</w:t>
      </w:r>
      <w:r>
        <w:t xml:space="preserve"> </w:t>
      </w:r>
      <w:r>
        <w:rPr>
          <w:b/>
          <w:bCs/>
        </w:rPr>
        <w:t xml:space="preserve">1 January 2023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31 July 2025</w:t>
      </w:r>
      <w:r>
        <w:t xml:space="preserve">, a</w:t>
      </w:r>
      <w:r>
        <w:t xml:space="preserve"> </w:t>
      </w:r>
      <w:r>
        <w:t xml:space="preserve">31‑month window. The endpoints used are:</w:t>
      </w:r>
    </w:p>
    <w:p>
      <w:pPr>
        <w:pStyle w:val="SourceCode"/>
      </w:pPr>
      <w:r>
        <w:rPr>
          <w:rStyle w:val="VerbatimChar"/>
        </w:rPr>
        <w:t xml:space="preserve">GET /v0.1/organizations/top_aum_organizations?limit={n}</w:t>
      </w:r>
      <w:r>
        <w:br/>
      </w:r>
      <w:r>
        <w:rPr>
          <w:rStyle w:val="VerbatimChar"/>
        </w:rPr>
        <w:t xml:space="preserve">GET /v0.1/timeseries/daily_dao_voters/{org_id}?startDate=…&amp;endDate=…</w:t>
      </w:r>
      <w:r>
        <w:br/>
      </w:r>
      <w:r>
        <w:rPr>
          <w:rStyle w:val="VerbatimChar"/>
        </w:rPr>
        <w:t xml:space="preserve">GET /v0.1/timeseries/daily_dao_proposals/{org_id}?startDate=…&amp;endDate=…</w:t>
      </w:r>
    </w:p>
    <w:p>
      <w:pPr>
        <w:pStyle w:val="FirstParagraph"/>
      </w:pPr>
      <w:r>
        <w:t xml:space="preserve">An API key is required to access these endpoints; the code reads it</w:t>
      </w:r>
      <w:r>
        <w:t xml:space="preserve"> </w:t>
      </w:r>
      <w:r>
        <w:t xml:space="preserve">from an environment variable or command‑line argument. If a request</w:t>
      </w:r>
      <w:r>
        <w:t xml:space="preserve"> </w:t>
      </w:r>
      <w:r>
        <w:t xml:space="preserve">fails (e.g., returns HTTP 403) or returns an empty series, the</w:t>
      </w:r>
      <w:r>
        <w:t xml:space="preserve"> </w:t>
      </w:r>
      <w:r>
        <w:t xml:space="preserve">organisation is logged and removed from the sample. This ensures</w:t>
      </w:r>
      <w:r>
        <w:t xml:space="preserve"> </w:t>
      </w:r>
      <w:r>
        <w:t xml:space="preserve">transparency: omitted DAOs are not silently dropped.</w:t>
      </w:r>
    </w:p>
    <w:bookmarkEnd w:id="28"/>
    <w:bookmarkStart w:id="29" w:name="universe-of-organisations"/>
    <w:p>
      <w:pPr>
        <w:pStyle w:val="Heading3"/>
      </w:pPr>
      <w:r>
        <w:t xml:space="preserve">Universe of organisations</w:t>
      </w:r>
    </w:p>
    <w:p>
      <w:pPr>
        <w:pStyle w:val="FirstParagraph"/>
      </w:pPr>
      <w:r>
        <w:t xml:space="preserve">We begin by calling</w:t>
      </w:r>
      <w:r>
        <w:t xml:space="preserve"> </w:t>
      </w:r>
      <w:r>
        <w:rPr>
          <w:rStyle w:val="VerbatimChar"/>
        </w:rPr>
        <w:t xml:space="preserve">top_aum_organizations?limit=2000</w:t>
      </w:r>
      <w:r>
        <w:t xml:space="preserve"> </w:t>
      </w:r>
      <w:r>
        <w:t xml:space="preserve">to obtain a ranked list of DAOs by</w:t>
      </w:r>
      <w:r>
        <w:t xml:space="preserve"> </w:t>
      </w:r>
      <w:r>
        <w:t xml:space="preserve">assets under management. The limit of 2 000 far exceeds the planned</w:t>
      </w:r>
      <w:r>
        <w:t xml:space="preserve"> </w:t>
      </w:r>
      <w:r>
        <w:t xml:space="preserve">sample so that projects near the boundary of the top 90 can be used as</w:t>
      </w:r>
      <w:r>
        <w:t xml:space="preserve"> </w:t>
      </w:r>
      <w:r>
        <w:t xml:space="preserve">replacements. From this universe we select the first</w:t>
      </w:r>
      <w:r>
        <w:t xml:space="preserve"> </w:t>
      </w:r>
      <w:r>
        <w:rPr>
          <w:rStyle w:val="VerbatimChar"/>
        </w:rPr>
        <w:t xml:space="preserve">min_valid_daos + buffer</w:t>
      </w:r>
      <w:r>
        <w:t xml:space="preserve"> </w:t>
      </w:r>
      <w:r>
        <w:t xml:space="preserve">organisations. In this study</w:t>
      </w:r>
      <w:r>
        <w:t xml:space="preserve"> </w:t>
      </w:r>
      <w:r>
        <w:rPr>
          <w:rStyle w:val="VerbatimChar"/>
        </w:rPr>
        <w:t xml:space="preserve">min_valid_daos = 80</w:t>
      </w:r>
      <w:r>
        <w:t xml:space="preserve"> </w:t>
      </w:r>
      <w:r>
        <w:t xml:space="preserve">ensures</w:t>
      </w:r>
      <w:r>
        <w:t xml:space="preserve"> </w:t>
      </w:r>
      <w:r>
        <w:t xml:space="preserve">enough observations to form quintiles (top and bottom 10 %) after</w:t>
      </w:r>
      <w:r>
        <w:t xml:space="preserve"> </w:t>
      </w:r>
      <w:r>
        <w:t xml:space="preserve">merging with price data;</w:t>
      </w:r>
      <w:r>
        <w:t xml:space="preserve"> </w:t>
      </w:r>
      <w:r>
        <w:rPr>
          <w:rStyle w:val="VerbatimChar"/>
        </w:rPr>
        <w:t xml:space="preserve">buffer = 10</w:t>
      </w:r>
      <w:r>
        <w:t xml:space="preserve"> </w:t>
      </w:r>
      <w:r>
        <w:t xml:space="preserve">provides slack to replace DAOs</w:t>
      </w:r>
      <w:r>
        <w:t xml:space="preserve"> </w:t>
      </w:r>
      <w:r>
        <w:t xml:space="preserve">whose governance data is unavailable. Once 80 valid DAOs are</w:t>
      </w:r>
      <w:r>
        <w:t xml:space="preserve"> </w:t>
      </w:r>
      <w:r>
        <w:t xml:space="preserve">successfully processed, remaining organisations are ignored.</w:t>
      </w:r>
    </w:p>
    <w:bookmarkEnd w:id="29"/>
    <w:bookmarkStart w:id="30" w:name="handling-missing-data"/>
    <w:p>
      <w:pPr>
        <w:pStyle w:val="Heading3"/>
      </w:pPr>
      <w:r>
        <w:t xml:space="preserve">Handling missing data</w:t>
      </w:r>
    </w:p>
    <w:p>
      <w:pPr>
        <w:pStyle w:val="FirstParagraph"/>
      </w:pPr>
      <w:r>
        <w:t xml:space="preserve">Daily series occasionally contain zeros or missing observations.</w:t>
      </w:r>
      <w:r>
        <w:t xml:space="preserve"> </w:t>
      </w:r>
      <w:r>
        <w:t xml:space="preserve">Because the ratio</w:t>
      </w:r>
      <w:r>
        <w:t xml:space="preserve"> </w:t>
      </w:r>
      <w:r>
        <w:rPr>
          <w:rStyle w:val="VerbatimChar"/>
        </w:rPr>
        <w:t xml:space="preserve">x_t = voters_t / proposals_t</w:t>
      </w:r>
      <w:r>
        <w:t xml:space="preserve"> </w:t>
      </w:r>
      <w:r>
        <w:t xml:space="preserve">is undefined when</w:t>
      </w:r>
      <w:r>
        <w:t xml:space="preserve"> </w:t>
      </w:r>
      <w:r>
        <w:rPr>
          <w:rStyle w:val="VerbatimChar"/>
        </w:rPr>
        <w:t xml:space="preserve">proposals_t = 0</w:t>
      </w:r>
      <w:r>
        <w:t xml:space="preserve">, months with zero proposals are assigned</w:t>
      </w:r>
      <w:r>
        <w:t xml:space="preserve"> </w:t>
      </w:r>
      <w:r>
        <w:rPr>
          <w:rStyle w:val="VerbatimChar"/>
        </w:rPr>
        <w:t xml:space="preserve">x_t = nan</w:t>
      </w:r>
      <w:r>
        <w:t xml:space="preserve">. When computing the mean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 standard deviation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of the</w:t>
      </w:r>
      <w:r>
        <w:t xml:space="preserve"> </w:t>
      </w:r>
      <w:r>
        <w:t xml:space="preserve">ratio, these NaNs are excluded. A DAO is retained only if it has at</w:t>
      </w:r>
      <w:r>
        <w:t xml:space="preserve"> </w:t>
      </w:r>
      <w:r>
        <w:t xml:space="preserve">least one month with a defined ratio. Empirically this rule filters</w:t>
      </w:r>
      <w:r>
        <w:t xml:space="preserve"> </w:t>
      </w:r>
      <w:r>
        <w:t xml:space="preserve">out organisations that launched recently or have not held any votes.</w:t>
      </w:r>
    </w:p>
    <w:bookmarkEnd w:id="30"/>
    <w:bookmarkStart w:id="31" w:name="manual-price-data"/>
    <w:p>
      <w:pPr>
        <w:pStyle w:val="Heading3"/>
      </w:pPr>
      <w:r>
        <w:t xml:space="preserve">Manual price data</w:t>
      </w:r>
    </w:p>
    <w:p>
      <w:pPr>
        <w:pStyle w:val="FirstParagraph"/>
      </w:pPr>
      <w:r>
        <w:t xml:space="preserve">Token prices are not available through the DeepDAO API. Once the</w:t>
      </w:r>
      <w:r>
        <w:t xml:space="preserve"> </w:t>
      </w:r>
      <w:r>
        <w:t xml:space="preserve">governance z‑scores are computed and verified, the user manually</w:t>
      </w:r>
      <w:r>
        <w:t xml:space="preserve"> </w:t>
      </w:r>
      <w:r>
        <w:t xml:space="preserve">downloads monthly price series from Token Terminal and merges them with</w:t>
      </w:r>
      <w:r>
        <w:t xml:space="preserve"> </w:t>
      </w:r>
      <w:r>
        <w:t xml:space="preserve">the output file using</w:t>
      </w:r>
      <w:r>
        <w:t xml:space="preserve"> </w:t>
      </w:r>
      <w:r>
        <w:rPr>
          <w:rStyle w:val="VerbatimChar"/>
        </w:rPr>
        <w:t xml:space="preserve">organizationId</w:t>
      </w:r>
      <w:r>
        <w:t xml:space="preserve"> </w:t>
      </w:r>
      <w:r>
        <w:t xml:space="preserve">or token symbol. The pipeline</w:t>
      </w:r>
      <w:r>
        <w:t xml:space="preserve"> </w:t>
      </w:r>
      <w:r>
        <w:t xml:space="preserve">therefore exports a clean CSV with</w:t>
      </w:r>
      <w:r>
        <w:t xml:space="preserve"> </w:t>
      </w:r>
      <w:r>
        <w:rPr>
          <w:rStyle w:val="VerbatimChar"/>
        </w:rPr>
        <w:t xml:space="preserve">organizationId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(monthly period),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(voters per proposal) and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(z‑score). Prices</w:t>
      </w:r>
      <w:r>
        <w:t xml:space="preserve"> </w:t>
      </w:r>
      <w:r>
        <w:t xml:space="preserve">are added outside the scope of this module.</w:t>
      </w:r>
    </w:p>
    <w:bookmarkEnd w:id="31"/>
    <w:bookmarkEnd w:id="32"/>
    <w:bookmarkStart w:id="37" w:name="methods"/>
    <w:p>
      <w:pPr>
        <w:pStyle w:val="Heading2"/>
      </w:pPr>
      <w:r>
        <w:t xml:space="preserve">Methods</w:t>
      </w:r>
    </w:p>
    <w:bookmarkStart w:id="33" w:name="ratio-of-unique-voters-to-proposals"/>
    <w:p>
      <w:pPr>
        <w:pStyle w:val="Heading3"/>
      </w:pPr>
      <w:r>
        <w:t xml:space="preserve">Ratio of unique voters to proposals</w:t>
      </w:r>
    </w:p>
    <w:p>
      <w:pPr>
        <w:pStyle w:val="FirstParagraph"/>
      </w:pPr>
      <w:r>
        <w:t xml:space="preserve">Selecting an appropriate participation metric is crucial. Raw vote</w:t>
      </w:r>
      <w:r>
        <w:t xml:space="preserve"> </w:t>
      </w:r>
      <w:r>
        <w:t xml:space="preserve">counts can be distorted by a small number of whales or by token</w:t>
      </w:r>
      <w:r>
        <w:t xml:space="preserve"> </w:t>
      </w:r>
      <w:r>
        <w:t xml:space="preserve">weighting; a single voter who holds many governance tokens can cast</w:t>
      </w:r>
      <w:r>
        <w:t xml:space="preserve"> </w:t>
      </w:r>
      <w:r>
        <w:t xml:space="preserve">thousands of weighted votes. Conversely, unique voter counts measure</w:t>
      </w:r>
      <w:r>
        <w:t xml:space="preserve"> </w:t>
      </w:r>
      <w:r>
        <w:t xml:space="preserve">how many distinct individuals (or addresses) participate. Dividing</w:t>
      </w:r>
      <w:r>
        <w:t xml:space="preserve"> </w:t>
      </w:r>
      <w:r>
        <w:t xml:space="preserve">unique voters by the number of proposals yields the</w:t>
      </w:r>
      <w:r>
        <w:t xml:space="preserve"> </w:t>
      </w:r>
      <w:r>
        <w:rPr>
          <w:i/>
          <w:iCs/>
        </w:rPr>
        <w:t xml:space="preserve">average community</w:t>
      </w:r>
      <w:r>
        <w:rPr>
          <w:i/>
          <w:iCs/>
        </w:rPr>
        <w:t xml:space="preserve"> </w:t>
      </w:r>
      <w:r>
        <w:rPr>
          <w:i/>
          <w:iCs/>
        </w:rPr>
        <w:t xml:space="preserve">turnout per proposal</w:t>
      </w:r>
      <w:r>
        <w:t xml:space="preserve">. This ratio is more comparable across DAOs with</w:t>
      </w:r>
      <w:r>
        <w:t xml:space="preserve"> </w:t>
      </w:r>
      <w:r>
        <w:t xml:space="preserve">different levels of proposal activity. For example, a small DAO with</w:t>
      </w:r>
      <w:r>
        <w:t xml:space="preserve"> </w:t>
      </w:r>
      <w:r>
        <w:t xml:space="preserve">three proposals and 300 unique voters has the same ratio (100 voters</w:t>
      </w:r>
      <w:r>
        <w:t xml:space="preserve"> </w:t>
      </w:r>
      <w:r>
        <w:t xml:space="preserve">per proposal) as a large DAO with thirty proposals and 3 000 unique</w:t>
      </w:r>
      <w:r>
        <w:t xml:space="preserve"> </w:t>
      </w:r>
      <w:r>
        <w:t xml:space="preserve">voters.</w:t>
      </w:r>
    </w:p>
    <w:p>
      <w:pPr>
        <w:pStyle w:val="BodyText"/>
      </w:pPr>
      <w:r>
        <w:t xml:space="preserve">Formally, define for DAO </w:t>
      </w:r>
      <w:r>
        <w:rPr>
          <w:rStyle w:val="VerbatimChar"/>
        </w:rPr>
        <w:t xml:space="preserve">d</w:t>
      </w:r>
      <w:r>
        <w:t xml:space="preserve"> </w:t>
      </w:r>
      <w:r>
        <w:t xml:space="preserve">in month</w:t>
      </w:r>
      <w:r>
        <w:t xml:space="preserve"> </w:t>
      </w:r>
      <w:r>
        <w:rPr>
          <w:rStyle w:val="VerbatimChar"/>
        </w:rPr>
        <w:t xml:space="preserve">t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d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nor/>
                      <m:sty m:val="p"/>
                    </m:rPr>
                    <m:t>voters</m:t>
                  </m:r>
                </m:e>
                <m:sub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rPr>
                      <m:nor/>
                      <m:sty m:val="p"/>
                    </m:rPr>
                    <m:t>proposals</m:t>
                  </m:r>
                </m:e>
                <m:sub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</m:den>
          </m:f>
          <m:r>
            <m:t> </m:t>
          </m:r>
          <m:sSub>
            <m:e>
              <m:r>
                <m:rPr>
                  <m:nor/>
                  <m:sty m:val="p"/>
                </m:rPr>
                <m:t>if proposals</m:t>
              </m:r>
            </m:e>
            <m:sub>
              <m:r>
                <m:t>d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</w:t>
      </w:r>
      <w:r>
        <w:t xml:space="preserve"> </w:t>
      </w:r>
      <w:r>
        <w:rPr>
          <w:rStyle w:val="VerbatimChar"/>
        </w:rPr>
        <w:t xml:space="preserve">x_{d,t} = \mathrm{nan}</w:t>
      </w:r>
      <w:r>
        <w:t xml:space="preserve"> </w:t>
      </w:r>
      <w:r>
        <w:t xml:space="preserve">otherwise. The monthly series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d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t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T</m:t>
            </m:r>
          </m:sup>
        </m:sSubSup>
      </m:oMath>
      <w:r>
        <w:t xml:space="preserve"> </w:t>
      </w:r>
      <w:r>
        <w:t xml:space="preserve">is then standardised using z‑scores: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d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m</m:t>
                  </m:r>
                </m:e>
                <m:sub>
                  <m:r>
                    <m:t>d</m:t>
                  </m:r>
                </m:sub>
              </m:sSub>
            </m:num>
            <m:den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m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d</m:t>
                  </m:r>
                </m:sub>
              </m:sSub>
            </m:den>
          </m:f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t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script"/>
                    </m:rPr>
                    <m:t>T</m:t>
                  </m:r>
                </m:e>
                <m:sub>
                  <m:r>
                    <m:t>d</m:t>
                  </m:r>
                </m:sub>
              </m:sSub>
            </m:sub>
            <m:sup>
              <m:r>
                <m:t>​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d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</m:e>
          </m:nary>
          <m:r>
            <m:rPr>
              <m:sty m:val="p"/>
            </m:rPr>
            <m:t>,</m:t>
          </m:r>
          <m:r>
            <m:t> </m:t>
          </m:r>
          <m:sSub>
            <m:e>
              <m:r>
                <m:t>s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d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rPr>
                          <m:sty m:val="p"/>
                          <m:scr m:val="script"/>
                        </m:rPr>
                        <m:t>T</m:t>
                      </m:r>
                    </m:e>
                    <m:sub>
                      <m:r>
                        <m:t>d</m:t>
                      </m:r>
                    </m:sub>
                  </m:sSub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T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set of months with defined ratios and</w:t>
      </w:r>
      <w:r>
        <w:t xml:space="preserve"> </w:t>
      </w:r>
      <m:oMath>
        <m:sSub>
          <m:e>
            <m:r>
              <m:t>n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d>
          <m:dPr>
            <m:begChr m:val="|"/>
            <m:sepChr m:val=""/>
            <m:endChr m:val="|"/>
            <m:grow/>
          </m:dPr>
          <m:e>
            <m:sSub>
              <m:e>
                <m:r>
                  <m:rPr>
                    <m:sty m:val="p"/>
                    <m:scr m:val="script"/>
                  </m:rPr>
                  <m:t>T</m:t>
                </m:r>
              </m:e>
              <m:sub>
                <m:r>
                  <m:t>d</m:t>
                </m:r>
              </m:sub>
            </m:sSub>
          </m:e>
        </m:d>
      </m:oMath>
      <w:r>
        <w:t xml:space="preserve"> </w:t>
      </w:r>
      <w:r>
        <w:t xml:space="preserve">. This transformation maps each DAO’s</w:t>
      </w:r>
      <w:r>
        <w:t xml:space="preserve"> </w:t>
      </w:r>
      <w:r>
        <w:t xml:space="preserve">participation series onto a standard normal scale. A positive z‑score</w:t>
      </w:r>
      <w:r>
        <w:t xml:space="preserve"> </w:t>
      </w:r>
      <w:r>
        <w:t xml:space="preserve">indicates above‑average voter turnout relative to that DAO’s history,</w:t>
      </w:r>
      <w:r>
        <w:t xml:space="preserve"> </w:t>
      </w:r>
      <w:r>
        <w:t xml:space="preserve">while a negative z‑score indicates below‑average turnout. The z‑score</w:t>
      </w:r>
      <w:r>
        <w:t xml:space="preserve"> </w:t>
      </w:r>
      <w:r>
        <w:t xml:space="preserve">allows comparison across DAOs by removing scale differences: a month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z = 2</w:t>
      </w:r>
      <w:r>
        <w:t xml:space="preserve"> </w:t>
      </w:r>
      <w:r>
        <w:t xml:space="preserve">is two standard deviations above the DAO’s mean, irrespective</w:t>
      </w:r>
      <w:r>
        <w:t xml:space="preserve"> </w:t>
      </w:r>
      <w:r>
        <w:t xml:space="preserve">of whether that mean is 10 or 1 000 voters per proposal. The</w:t>
      </w:r>
      <w:r>
        <w:t xml:space="preserve"> </w:t>
      </w:r>
      <w:r>
        <w:t xml:space="preserve">definition of a z‑score, “the raw score minus the mean divided by the</w:t>
      </w:r>
      <w:r>
        <w:t xml:space="preserve"> </w:t>
      </w:r>
      <w:r>
        <w:t xml:space="preserve">standard deviation”</w:t>
      </w:r>
      <w:hyperlink r:id="rId25">
        <w:r>
          <w:rPr>
            <w:rStyle w:val="Hyperlink"/>
          </w:rPr>
          <w:t xml:space="preserve">[4]</w:t>
        </w:r>
      </w:hyperlink>
      <w:r>
        <w:t xml:space="preserve">, underpins this</w:t>
      </w:r>
      <w:r>
        <w:t xml:space="preserve"> </w:t>
      </w:r>
      <w:r>
        <w:t xml:space="preserve">interpretation.</w:t>
      </w:r>
    </w:p>
    <w:bookmarkEnd w:id="33"/>
    <w:bookmarkStart w:id="34" w:name="monthly-aggregation"/>
    <w:p>
      <w:pPr>
        <w:pStyle w:val="Heading3"/>
      </w:pPr>
      <w:r>
        <w:t xml:space="preserve">Monthly aggregation</w:t>
      </w:r>
    </w:p>
    <w:p>
      <w:pPr>
        <w:pStyle w:val="FirstParagraph"/>
      </w:pPr>
      <w:r>
        <w:t xml:space="preserve">To align with price data and smooth daily volatility, daily</w:t>
      </w:r>
      <w:r>
        <w:t xml:space="preserve"> </w:t>
      </w:r>
      <w:r>
        <w:t xml:space="preserve">series are aggregated to monthly totals. For voters, the daily</w:t>
      </w:r>
      <w:r>
        <w:t xml:space="preserve"> </w:t>
      </w:r>
      <w:r>
        <w:t xml:space="preserve">counts are summed within each month; for proposals, daily counts are</w:t>
      </w:r>
      <w:r>
        <w:t xml:space="preserve"> </w:t>
      </w:r>
      <w:r>
        <w:t xml:space="preserve">summed similarly. Months without any proposals or voters are</w:t>
      </w:r>
      <w:r>
        <w:t xml:space="preserve"> </w:t>
      </w:r>
      <w:r>
        <w:t xml:space="preserve">automatically represented in the index but yield NaN ratios. The</w:t>
      </w:r>
      <w:r>
        <w:t xml:space="preserve"> </w:t>
      </w:r>
      <w:r>
        <w:t xml:space="preserve">aggregation uses the first day of each month as the timestamp (e.g.,</w:t>
      </w:r>
      <w:r>
        <w:t xml:space="preserve"> </w:t>
      </w:r>
      <w:r>
        <w:rPr>
          <w:rStyle w:val="VerbatimChar"/>
        </w:rPr>
        <w:t xml:space="preserve">2023-01-01</w:t>
      </w:r>
      <w:r>
        <w:t xml:space="preserve"> </w:t>
      </w:r>
      <w:r>
        <w:t xml:space="preserve">for January 2023) to facilitate merging with monthly</w:t>
      </w:r>
      <w:r>
        <w:t xml:space="preserve"> </w:t>
      </w:r>
      <w:r>
        <w:t xml:space="preserve">returns later.</w:t>
      </w:r>
    </w:p>
    <w:bookmarkEnd w:id="34"/>
    <w:bookmarkStart w:id="35" w:name="sample-size-and-weighting"/>
    <w:p>
      <w:pPr>
        <w:pStyle w:val="Heading3"/>
      </w:pPr>
      <w:r>
        <w:t xml:space="preserve">Sample size and weighting</w:t>
      </w:r>
    </w:p>
    <w:p>
      <w:pPr>
        <w:pStyle w:val="FirstParagraph"/>
      </w:pPr>
      <w:r>
        <w:t xml:space="preserve">The final dataset aims to include at least 80 DAOs. This number is a</w:t>
      </w:r>
      <w:r>
        <w:t xml:space="preserve"> </w:t>
      </w:r>
      <w:r>
        <w:t xml:space="preserve">trade‑off: it is large enough to form quintile portfolios (top 20 %,</w:t>
      </w:r>
      <w:r>
        <w:t xml:space="preserve"> </w:t>
      </w:r>
      <w:r>
        <w:t xml:space="preserve">bottom 20 %, etc.) yet small enough to permit manual inspection and</w:t>
      </w:r>
      <w:r>
        <w:t xml:space="preserve"> </w:t>
      </w:r>
      <w:r>
        <w:t xml:space="preserve">price collection. Because each DAO contributes multiple observations</w:t>
      </w:r>
      <w:r>
        <w:t xml:space="preserve"> </w:t>
      </w:r>
      <w:r>
        <w:t xml:space="preserve">(one per month), panel regressions can be run with fixed effects to</w:t>
      </w:r>
      <w:r>
        <w:t xml:space="preserve"> </w:t>
      </w:r>
      <w:r>
        <w:t xml:space="preserve">control for time‑invariant DAO characteristics. The current study does</w:t>
      </w:r>
      <w:r>
        <w:t xml:space="preserve"> </w:t>
      </w:r>
      <w:r>
        <w:t xml:space="preserve">not weight observations by treasury size or token supply; each DAO and</w:t>
      </w:r>
      <w:r>
        <w:t xml:space="preserve"> </w:t>
      </w:r>
      <w:r>
        <w:t xml:space="preserve">month contributes equally. Future work could explore weighting by</w:t>
      </w:r>
      <w:r>
        <w:t xml:space="preserve"> </w:t>
      </w:r>
      <w:r>
        <w:t xml:space="preserve">liquidity or market capitalisation.</w:t>
      </w:r>
    </w:p>
    <w:bookmarkEnd w:id="35"/>
    <w:bookmarkStart w:id="36" w:name="error-handling-and-logging"/>
    <w:p>
      <w:pPr>
        <w:pStyle w:val="Heading3"/>
      </w:pPr>
      <w:r>
        <w:t xml:space="preserve">Error handling and logging</w:t>
      </w:r>
    </w:p>
    <w:p>
      <w:pPr>
        <w:pStyle w:val="FirstParagraph"/>
      </w:pPr>
      <w:r>
        <w:t xml:space="preserve">Data collection is subject to network failures, missing series and</w:t>
      </w:r>
      <w:r>
        <w:t xml:space="preserve"> </w:t>
      </w:r>
      <w:r>
        <w:t xml:space="preserve">endpoint restrictions. The pipeline records every failure with the</w:t>
      </w:r>
      <w:r>
        <w:t xml:space="preserve"> </w:t>
      </w:r>
      <w:r>
        <w:t xml:space="preserve">organisation identifier and error message. Common failure modes</w:t>
      </w:r>
      <w:r>
        <w:t xml:space="preserve"> </w:t>
      </w:r>
      <w:r>
        <w:t xml:space="preserve">include HTTP 403 (insufficient permissions), HTTP 404 (unknown</w:t>
      </w:r>
      <w:r>
        <w:t xml:space="preserve"> </w:t>
      </w:r>
      <w:r>
        <w:t xml:space="preserve">organisation) and empty response (no governance data). When a DAO</w:t>
      </w:r>
      <w:r>
        <w:t xml:space="preserve"> </w:t>
      </w:r>
      <w:r>
        <w:t xml:space="preserve">fails, it is omitted and replaced by the next DAO in the AUM ranking</w:t>
      </w:r>
      <w:r>
        <w:t xml:space="preserve"> </w:t>
      </w:r>
      <w:r>
        <w:t xml:space="preserve">until the minimum number of valid DAOs is reached. This ensures that</w:t>
      </w:r>
      <w:r>
        <w:t xml:space="preserve"> </w:t>
      </w:r>
      <w:r>
        <w:t xml:space="preserve">the final sample is as unbiased as possible given data availability.</w:t>
      </w:r>
    </w:p>
    <w:bookmarkEnd w:id="36"/>
    <w:bookmarkEnd w:id="37"/>
    <w:bookmarkStart w:id="47" w:name="implementation"/>
    <w:p>
      <w:pPr>
        <w:pStyle w:val="Heading2"/>
      </w:pPr>
      <w:r>
        <w:t xml:space="preserve">Implementation</w:t>
      </w:r>
    </w:p>
    <w:bookmarkStart w:id="45" w:name="overview-of-the-deepdao_analysis-module"/>
    <w:p>
      <w:pPr>
        <w:pStyle w:val="Heading3"/>
      </w:pPr>
      <w:r>
        <w:t xml:space="preserve">Overview of the</w:t>
      </w:r>
      <w:r>
        <w:t xml:space="preserve"> </w:t>
      </w:r>
      <w:r>
        <w:rPr>
          <w:rStyle w:val="VerbatimChar"/>
        </w:rPr>
        <w:t xml:space="preserve">deepdao_analysis</w:t>
      </w:r>
      <w:r>
        <w:t xml:space="preserve"> </w:t>
      </w:r>
      <w:r>
        <w:t xml:space="preserve">module</w:t>
      </w:r>
    </w:p>
    <w:p>
      <w:pPr>
        <w:pStyle w:val="FirstParagraph"/>
      </w:pPr>
      <w:r>
        <w:t xml:space="preserve">The analysis pipeline is encapsulated in the Python module</w:t>
      </w:r>
      <w:r>
        <w:t xml:space="preserve"> </w:t>
      </w:r>
      <w:r>
        <w:rPr>
          <w:rStyle w:val="VerbatimChar"/>
        </w:rPr>
        <w:t xml:space="preserve">deepdao_analysis.py</w:t>
      </w:r>
      <w:r>
        <w:t xml:space="preserve">. The design follows functional decomposition: each</w:t>
      </w:r>
      <w:r>
        <w:t xml:space="preserve"> </w:t>
      </w:r>
      <w:r>
        <w:t xml:space="preserve">step of the workflow is implemented as a function that can be tested in</w:t>
      </w:r>
      <w:r>
        <w:t xml:space="preserve"> </w:t>
      </w:r>
      <w:r>
        <w:t xml:space="preserve">isolation. The key functions are summarised below.</w:t>
      </w:r>
    </w:p>
    <w:bookmarkStart w:id="38" w:name="api-key-retrieval"/>
    <w:p>
      <w:pPr>
        <w:pStyle w:val="Heading4"/>
      </w:pPr>
      <w:r>
        <w:t xml:space="preserve">API key retrieval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_get_api_key()</w:t>
      </w:r>
      <w:r>
        <w:t xml:space="preserve"> </w:t>
      </w:r>
      <w:r>
        <w:t xml:space="preserve">helper reads the API key from a function argument or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DEEPDAO_API_KEY</w:t>
      </w:r>
      <w:r>
        <w:t xml:space="preserve"> </w:t>
      </w:r>
      <w:r>
        <w:t xml:space="preserve">environment variable. If no key is</w:t>
      </w:r>
      <w:r>
        <w:t xml:space="preserve"> </w:t>
      </w:r>
      <w:r>
        <w:t xml:space="preserve">available,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 Centralising this logic ensures</w:t>
      </w:r>
      <w:r>
        <w:t xml:space="preserve"> </w:t>
      </w:r>
      <w:r>
        <w:t xml:space="preserve">that all subsequent functions have consistent access to the key.</w:t>
      </w:r>
    </w:p>
    <w:bookmarkEnd w:id="38"/>
    <w:bookmarkStart w:id="39" w:name="getting-the-universe-of-daos"/>
    <w:p>
      <w:pPr>
        <w:pStyle w:val="Heading4"/>
      </w:pPr>
      <w:r>
        <w:t xml:space="preserve">Getting the universe of DAOs</w:t>
      </w:r>
    </w:p>
    <w:p>
      <w:pPr>
        <w:pStyle w:val="FirstParagraph"/>
      </w:pPr>
      <w:r>
        <w:rPr>
          <w:rStyle w:val="VerbatimChar"/>
        </w:rPr>
        <w:t xml:space="preserve">get_top_daos(api_key, limit)</w:t>
      </w:r>
      <w:r>
        <w:t xml:space="preserve"> </w:t>
      </w:r>
      <w:r>
        <w:t xml:space="preserve">calls the</w:t>
      </w:r>
      <w:r>
        <w:t xml:space="preserve"> </w:t>
      </w:r>
      <w:r>
        <w:rPr>
          <w:rStyle w:val="VerbatimChar"/>
        </w:rPr>
        <w:t xml:space="preserve">/organizations/top_aum_organizations</w:t>
      </w:r>
      <w:r>
        <w:t xml:space="preserve"> </w:t>
      </w:r>
      <w:r>
        <w:t xml:space="preserve">endpoint and returns a pandas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organizationId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aumUsd</w:t>
      </w:r>
      <w:r>
        <w:t xml:space="preserve">. The DataFrame is sorted in descending order of</w:t>
      </w:r>
      <w:r>
        <w:t xml:space="preserve"> </w:t>
      </w:r>
      <w:r>
        <w:t xml:space="preserve">assets under management. If the HTTP status code is not 200, the</w:t>
      </w:r>
      <w:r>
        <w:t xml:space="preserve"> </w:t>
      </w:r>
      <w:r>
        <w:t xml:space="preserve">function logs the error and raises an exception. Exposing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parameter allows the user to retrieve more organisations as a buffer for</w:t>
      </w:r>
      <w:r>
        <w:t xml:space="preserve"> </w:t>
      </w:r>
      <w:r>
        <w:t xml:space="preserve">failures.</w:t>
      </w:r>
    </w:p>
    <w:bookmarkEnd w:id="39"/>
    <w:bookmarkStart w:id="40" w:name="fetching-daily-timeseries"/>
    <w:p>
      <w:pPr>
        <w:pStyle w:val="Heading4"/>
      </w:pPr>
      <w:r>
        <w:t xml:space="preserve">Fetching daily timeseries</w:t>
      </w:r>
    </w:p>
    <w:p>
      <w:pPr>
        <w:pStyle w:val="FirstParagraph"/>
      </w:pPr>
      <w:r>
        <w:rPr>
          <w:rStyle w:val="VerbatimChar"/>
        </w:rPr>
        <w:t xml:space="preserve">fetch_timeseries(api_key, org_id, metric, start_date, end_date)</w:t>
      </w:r>
      <w:r>
        <w:t xml:space="preserve"> </w:t>
      </w:r>
      <w:r>
        <w:t xml:space="preserve">retrieves daily data for a single metric (</w:t>
      </w:r>
      <w:r>
        <w:rPr>
          <w:rStyle w:val="VerbatimChar"/>
        </w:rPr>
        <w:t xml:space="preserve">"voters"</w:t>
      </w:r>
      <w:r>
        <w:t xml:space="preserve">,</w:t>
      </w:r>
      <w:r>
        <w:t xml:space="preserve"> </w:t>
      </w:r>
      <w:r>
        <w:rPr>
          <w:rStyle w:val="VerbatimChar"/>
        </w:rPr>
        <w:t xml:space="preserve">"votes"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"proposals"</w:t>
      </w:r>
      <w:r>
        <w:t xml:space="preserve">). The function constructs the appropriate endpoint path</w:t>
      </w:r>
      <w:r>
        <w:t xml:space="preserve"> </w:t>
      </w:r>
      <w:r>
        <w:t xml:space="preserve">(</w:t>
      </w:r>
      <w:r>
        <w:rPr>
          <w:rStyle w:val="VerbatimChar"/>
        </w:rPr>
        <w:t xml:space="preserve">daily_dao_voters</w:t>
      </w:r>
      <w:r>
        <w:t xml:space="preserve">,</w:t>
      </w:r>
      <w:r>
        <w:t xml:space="preserve"> </w:t>
      </w:r>
      <w:r>
        <w:rPr>
          <w:rStyle w:val="VerbatimChar"/>
        </w:rPr>
        <w:t xml:space="preserve">daily_dao_votes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daily_dao_proposals</w:t>
      </w:r>
      <w:r>
        <w:t xml:space="preserve">),</w:t>
      </w:r>
      <w:r>
        <w:t xml:space="preserve"> </w:t>
      </w:r>
      <w:r>
        <w:t xml:space="preserve">performs up to three retries on transient errors (HTTP 429 or 500) and</w:t>
      </w:r>
      <w:r>
        <w:t xml:space="preserve"> </w:t>
      </w:r>
      <w:r>
        <w:t xml:space="preserve">parses the JSON response into a DataFrame with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columns. By handling retries internally, the caller does not need to</w:t>
      </w:r>
      <w:r>
        <w:t xml:space="preserve"> </w:t>
      </w:r>
      <w:r>
        <w:t xml:space="preserve">manage back‑off logic. Non‑recoverable errors such as HTTP 403 are</w:t>
      </w:r>
      <w:r>
        <w:t xml:space="preserve"> </w:t>
      </w:r>
      <w:r>
        <w:t xml:space="preserve">logged and raised immediately.</w:t>
      </w:r>
    </w:p>
    <w:bookmarkEnd w:id="40"/>
    <w:bookmarkStart w:id="41" w:name="aggregating-and-standardising"/>
    <w:p>
      <w:pPr>
        <w:pStyle w:val="Heading4"/>
      </w:pPr>
      <w:r>
        <w:t xml:space="preserve">Aggregating and standardising</w:t>
      </w:r>
    </w:p>
    <w:p>
      <w:pPr>
        <w:pStyle w:val="FirstParagraph"/>
      </w:pPr>
      <w:r>
        <w:rPr>
          <w:rStyle w:val="VerbatimChar"/>
        </w:rPr>
        <w:t xml:space="preserve">aggregate_monthly(df)</w:t>
      </w:r>
      <w:r>
        <w:t xml:space="preserve"> </w:t>
      </w:r>
      <w:r>
        <w:t xml:space="preserve">resamples a daily series to monthly 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"MS"</w:t>
      </w:r>
      <w:r>
        <w:t xml:space="preserve"> </w:t>
      </w:r>
      <w:r>
        <w:t xml:space="preserve">stands for month‑start) and returns a</w:t>
      </w:r>
      <w:r>
        <w:t xml:space="preserve"> </w:t>
      </w:r>
      <w:r>
        <w:rPr>
          <w:rStyle w:val="VerbatimChar"/>
        </w:rPr>
        <w:t xml:space="preserve">Series</w:t>
      </w:r>
      <w:r>
        <w:t xml:space="preserve"> </w:t>
      </w:r>
      <w:r>
        <w:t xml:space="preserve">of monthly</w:t>
      </w:r>
      <w:r>
        <w:t xml:space="preserve"> </w:t>
      </w:r>
      <w:r>
        <w:t xml:space="preserve">sums.</w:t>
      </w:r>
      <w:r>
        <w:t xml:space="preserve"> </w:t>
      </w:r>
      <w:r>
        <w:rPr>
          <w:rStyle w:val="VerbatimChar"/>
        </w:rPr>
        <w:t xml:space="preserve">compute_z_scores(series)</w:t>
      </w:r>
      <w:r>
        <w:t xml:space="preserve"> </w:t>
      </w:r>
      <w:r>
        <w:t xml:space="preserve">takes a monthly ratio series and</w:t>
      </w:r>
      <w:r>
        <w:t xml:space="preserve"> </w:t>
      </w:r>
      <w:r>
        <w:t xml:space="preserve">returns a</w:t>
      </w:r>
      <w:r>
        <w:t xml:space="preserve"> </w:t>
      </w:r>
      <w:r>
        <w:rPr>
          <w:rStyle w:val="VerbatimChar"/>
        </w:rPr>
        <w:t xml:space="preserve">Series</w:t>
      </w:r>
      <w:r>
        <w:t xml:space="preserve"> </w:t>
      </w:r>
      <w:r>
        <w:t xml:space="preserve">of z‑scores. NaN values are ignored when</w:t>
      </w:r>
      <w:r>
        <w:t xml:space="preserve"> </w:t>
      </w:r>
      <w:r>
        <w:t xml:space="preserve">computing the mean and standard deviation. If the variance is zero</w:t>
      </w:r>
      <w:r>
        <w:t xml:space="preserve"> </w:t>
      </w:r>
      <w:r>
        <w:t xml:space="preserve">(i.e., all valid months have identical ratios), z‑scores are set to</w:t>
      </w:r>
      <w:r>
        <w:t xml:space="preserve"> </w:t>
      </w:r>
      <w:r>
        <w:t xml:space="preserve">zero instead of dividing by zero. This avoids infinite values and</w:t>
      </w:r>
      <w:r>
        <w:t xml:space="preserve"> </w:t>
      </w:r>
      <w:r>
        <w:t xml:space="preserve">reflects the fact that all observations are exactly at the mean.</w:t>
      </w:r>
    </w:p>
    <w:bookmarkEnd w:id="41"/>
    <w:bookmarkStart w:id="42" w:name="processing-a-single-dao"/>
    <w:p>
      <w:pPr>
        <w:pStyle w:val="Heading4"/>
      </w:pPr>
      <w:r>
        <w:t xml:space="preserve">Processing a single DAO</w:t>
      </w:r>
    </w:p>
    <w:p>
      <w:pPr>
        <w:pStyle w:val="FirstParagraph"/>
      </w:pPr>
      <w:r>
        <w:rPr>
          <w:rStyle w:val="VerbatimChar"/>
        </w:rPr>
        <w:t xml:space="preserve">process_dao(api_key, org, start_date, end_date, use_voters)</w:t>
      </w:r>
      <w:r>
        <w:t xml:space="preserve"> </w:t>
      </w:r>
      <w:r>
        <w:t xml:space="preserve">ties</w:t>
      </w:r>
      <w:r>
        <w:t xml:space="preserve"> </w:t>
      </w:r>
      <w:r>
        <w:t xml:space="preserve">together the previous functions. It fetches daily voters (or votes)</w:t>
      </w:r>
      <w:r>
        <w:t xml:space="preserve"> </w:t>
      </w:r>
      <w:r>
        <w:t xml:space="preserve">and proposals, aggregates them to monthly totals, aligns the index to</w:t>
      </w:r>
      <w:r>
        <w:t xml:space="preserve"> </w:t>
      </w:r>
      <w:r>
        <w:t xml:space="preserve">include all months in the date range, computes the ratio and the</w:t>
      </w:r>
      <w:r>
        <w:t xml:space="preserve"> </w:t>
      </w:r>
      <w:r>
        <w:t xml:space="preserve">z‑scores, and returns a DataFrame with</w:t>
      </w:r>
      <w:r>
        <w:t xml:space="preserve"> </w:t>
      </w:r>
      <w:r>
        <w:rPr>
          <w:rStyle w:val="VerbatimChar"/>
        </w:rPr>
        <w:t xml:space="preserve">organizationId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</w:t>
      </w:r>
      <w:r>
        <w:t xml:space="preserve">. If any step fails or the DAO has no months with</w:t>
      </w:r>
      <w:r>
        <w:t xml:space="preserve"> </w:t>
      </w:r>
      <w:r>
        <w:t xml:space="preserve">proposals, the function returns an empty DataFrame and an error</w:t>
      </w:r>
      <w:r>
        <w:t xml:space="preserve"> </w:t>
      </w:r>
      <w:r>
        <w:t xml:space="preserve">message.</w:t>
      </w:r>
    </w:p>
    <w:bookmarkEnd w:id="42"/>
    <w:bookmarkStart w:id="43" w:name="processing-multiple-daos"/>
    <w:p>
      <w:pPr>
        <w:pStyle w:val="Heading4"/>
      </w:pPr>
      <w:r>
        <w:t xml:space="preserve">Processing multiple DAOs</w:t>
      </w:r>
    </w:p>
    <w:p>
      <w:pPr>
        <w:pStyle w:val="FirstParagraph"/>
      </w:pPr>
      <w:r>
        <w:rPr>
          <w:rStyle w:val="VerbatimChar"/>
        </w:rPr>
        <w:t xml:space="preserve">process_daos(api_key, daos_df, start_date, end_date, min_valid_daos, buffer, use_voters)</w:t>
      </w:r>
      <w:r>
        <w:t xml:space="preserve"> </w:t>
      </w:r>
      <w:r>
        <w:t xml:space="preserve">iterates through the list of candidate DAOs in</w:t>
      </w:r>
      <w:r>
        <w:t xml:space="preserve"> </w:t>
      </w:r>
      <w:r>
        <w:t xml:space="preserve">order of decreasing AUM. For each organisation it calls</w:t>
      </w:r>
      <w:r>
        <w:t xml:space="preserve"> </w:t>
      </w:r>
      <w:r>
        <w:rPr>
          <w:rStyle w:val="VerbatimChar"/>
        </w:rPr>
        <w:t xml:space="preserve">process_dao()</w:t>
      </w:r>
      <w:r>
        <w:t xml:space="preserve">. If the DAO is processed successfully, its results</w:t>
      </w:r>
      <w:r>
        <w:t xml:space="preserve"> </w:t>
      </w:r>
      <w:r>
        <w:t xml:space="preserve">are appended; otherwise the organisation is logged as failed. The</w:t>
      </w:r>
      <w:r>
        <w:t xml:space="preserve"> </w:t>
      </w:r>
      <w:r>
        <w:t xml:space="preserve">loop stops when the desired number of valid DAOs (</w:t>
      </w:r>
      <w:r>
        <w:rPr>
          <w:rStyle w:val="VerbatimChar"/>
        </w:rPr>
        <w:t xml:space="preserve">min_valid_daos</w:t>
      </w:r>
      <w:r>
        <w:t xml:space="preserve">) is</w:t>
      </w:r>
      <w:r>
        <w:t xml:space="preserve"> </w:t>
      </w:r>
      <w:r>
        <w:t xml:space="preserve">reached or when all candidates in</w:t>
      </w:r>
      <w:r>
        <w:t xml:space="preserve"> </w:t>
      </w:r>
      <w:r>
        <w:rPr>
          <w:rStyle w:val="VerbatimChar"/>
        </w:rPr>
        <w:t xml:space="preserve">daos_df.head(min_valid_daos + buffer)</w:t>
      </w:r>
      <w:r>
        <w:t xml:space="preserve"> </w:t>
      </w:r>
      <w:r>
        <w:t xml:space="preserve">have been tried. This mechanism automatically compensates</w:t>
      </w:r>
      <w:r>
        <w:t xml:space="preserve"> </w:t>
      </w:r>
      <w:r>
        <w:t xml:space="preserve">for omissions by extending the sample to the next DAOs in the ranking.</w:t>
      </w:r>
    </w:p>
    <w:bookmarkEnd w:id="43"/>
    <w:bookmarkStart w:id="44" w:name="saving-the-master-file"/>
    <w:p>
      <w:pPr>
        <w:pStyle w:val="Heading4"/>
      </w:pPr>
      <w:r>
        <w:t xml:space="preserve">Saving the master file</w:t>
      </w:r>
    </w:p>
    <w:p>
      <w:pPr>
        <w:pStyle w:val="FirstParagraph"/>
      </w:pPr>
      <w:r>
        <w:rPr>
          <w:rStyle w:val="VerbatimChar"/>
        </w:rPr>
        <w:t xml:space="preserve">save_master_csv(df, filename)</w:t>
      </w:r>
      <w:r>
        <w:t xml:space="preserve"> </w:t>
      </w:r>
      <w:r>
        <w:t xml:space="preserve">writes the combined results to a CSV</w:t>
      </w:r>
      <w:r>
        <w:t xml:space="preserve"> </w:t>
      </w:r>
      <w:r>
        <w:t xml:space="preserve">file. It ensures that the directory exists and warns if the DataFrame</w:t>
      </w:r>
      <w:r>
        <w:t xml:space="preserve"> </w:t>
      </w:r>
      <w:r>
        <w:t xml:space="preserve">is empty. The output file is encoded in UTF‑8 and can be opened in</w:t>
      </w:r>
      <w:r>
        <w:t xml:space="preserve"> </w:t>
      </w:r>
      <w:r>
        <w:t xml:space="preserve">Excel or further processed in Python or R.</w:t>
      </w:r>
    </w:p>
    <w:bookmarkEnd w:id="44"/>
    <w:bookmarkEnd w:id="45"/>
    <w:bookmarkStart w:id="46" w:name="reproducibility-and-extensibility"/>
    <w:p>
      <w:pPr>
        <w:pStyle w:val="Heading3"/>
      </w:pPr>
      <w:r>
        <w:t xml:space="preserve">Reproducibility and extensibility</w:t>
      </w:r>
    </w:p>
    <w:p>
      <w:pPr>
        <w:pStyle w:val="FirstParagraph"/>
      </w:pPr>
      <w:r>
        <w:t xml:space="preserve">The module is self‑contained and relies only on widely used</w:t>
      </w:r>
      <w:r>
        <w:t xml:space="preserve"> </w:t>
      </w:r>
      <w:r>
        <w:t xml:space="preserve">dependencies (</w:t>
      </w:r>
      <w:r>
        <w:rPr>
          <w:rStyle w:val="VerbatimChar"/>
        </w:rPr>
        <w:t xml:space="preserve">requests</w:t>
      </w:r>
      <w:r>
        <w:t xml:space="preserve">,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,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). Users can run it as a</w:t>
      </w:r>
      <w:r>
        <w:t xml:space="preserve"> </w:t>
      </w:r>
      <w:r>
        <w:t xml:space="preserve">script by executing:</w:t>
      </w:r>
    </w:p>
    <w:p>
      <w:pPr>
        <w:pStyle w:val="SourceCode"/>
      </w:pPr>
      <w:r>
        <w:rPr>
          <w:rStyle w:val="VerbatimChar"/>
        </w:rPr>
        <w:t xml:space="preserve">python deepdao_analysis.py --api-key YOUR_API_KEY --start-date 2023-01-01 \</w:t>
      </w:r>
      <w:r>
        <w:br/>
      </w:r>
      <w:r>
        <w:rPr>
          <w:rStyle w:val="VerbatimChar"/>
        </w:rPr>
        <w:t xml:space="preserve">    --end-date 2025-07-31 --min-valid-daos 80 --buffer 10 --output zscores.csv</w:t>
      </w:r>
    </w:p>
    <w:p>
      <w:pPr>
        <w:pStyle w:val="FirstParagraph"/>
      </w:pPr>
      <w:r>
        <w:t xml:space="preserve">Alternatively, they can import the functions into a Jupyter notebook to</w:t>
      </w:r>
      <w:r>
        <w:t xml:space="preserve"> </w:t>
      </w:r>
      <w:r>
        <w:t xml:space="preserve">perform exploratory analysis, change parameters on the fly or</w:t>
      </w:r>
      <w:r>
        <w:t xml:space="preserve"> </w:t>
      </w:r>
      <w:r>
        <w:t xml:space="preserve">experiment with alternative metrics (e.g., using</w:t>
      </w:r>
      <w:r>
        <w:t xml:space="preserve"> </w:t>
      </w:r>
      <w:r>
        <w:rPr>
          <w:rStyle w:val="VerbatimChar"/>
        </w:rPr>
        <w:t xml:space="preserve">votes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voters</w:t>
      </w:r>
      <w:r>
        <w:t xml:space="preserve">). The code is thoroughly documented so that future</w:t>
      </w:r>
      <w:r>
        <w:t xml:space="preserve"> </w:t>
      </w:r>
      <w:r>
        <w:t xml:space="preserve">researchers can adapt it to other date ranges or governance metrics.</w:t>
      </w:r>
    </w:p>
    <w:bookmarkEnd w:id="46"/>
    <w:bookmarkEnd w:id="47"/>
    <w:bookmarkStart w:id="48" w:name="preliminary-findings-and-result-variants"/>
    <w:p>
      <w:pPr>
        <w:pStyle w:val="Heading2"/>
      </w:pPr>
      <w:r>
        <w:t xml:space="preserve">Preliminary findings and result variants</w:t>
      </w:r>
    </w:p>
    <w:p>
      <w:pPr>
        <w:pStyle w:val="FirstParagraph"/>
      </w:pPr>
      <w:r>
        <w:t xml:space="preserve">At the time of writing this report, API keys are not available in the</w:t>
      </w:r>
      <w:r>
        <w:t xml:space="preserve"> </w:t>
      </w:r>
      <w:r>
        <w:t xml:space="preserve">analysis environment, so actual governance data could not be retrieved.</w:t>
      </w:r>
      <w:r>
        <w:t xml:space="preserve"> </w:t>
      </w:r>
      <w:r>
        <w:t xml:space="preserve">Nevertheless, the pipeline has been extensively tested with synthetic</w:t>
      </w:r>
      <w:r>
        <w:t xml:space="preserve"> </w:t>
      </w:r>
      <w:r>
        <w:t xml:space="preserve">data to ensure that monthly aggregation and z‑score computations</w:t>
      </w:r>
      <w:r>
        <w:t xml:space="preserve"> </w:t>
      </w:r>
      <w:r>
        <w:t xml:space="preserve">behave as expected. Once an API key is provided and the code is</w:t>
      </w:r>
      <w:r>
        <w:t xml:space="preserve"> </w:t>
      </w:r>
      <w:r>
        <w:t xml:space="preserve">executed, several descriptive and inferential analyses can be</w:t>
      </w:r>
      <w:r>
        <w:t xml:space="preserve"> </w:t>
      </w:r>
      <w:r>
        <w:t xml:space="preserve">performed: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Distribution of voters per proposal (raw and z‑scored).</w:t>
      </w:r>
      <w:r>
        <w:t xml:space="preserve"> </w:t>
      </w:r>
      <w:r>
        <w:t xml:space="preserve">For</w:t>
      </w:r>
      <w:r>
        <w:t xml:space="preserve"> </w:t>
      </w:r>
      <w:r>
        <w:t xml:space="preserve">each DAO, summarise the mean, median and volatility of the ratio</w:t>
      </w:r>
      <w:r>
        <w:t xml:space="preserve"> </w:t>
      </w:r>
      <w:r>
        <w:rPr>
          <w:rStyle w:val="VerbatimChar"/>
        </w:rPr>
        <w:t xml:space="preserve">x_{d,t}</w:t>
      </w:r>
      <w:r>
        <w:t xml:space="preserve">. Visualising the distribution of z‑scores across DAOs can</w:t>
      </w:r>
      <w:r>
        <w:t xml:space="preserve"> </w:t>
      </w:r>
      <w:r>
        <w:t xml:space="preserve">reveal whether voter participation exhibits heavy tails (i.e., a</w:t>
      </w:r>
      <w:r>
        <w:t xml:space="preserve"> </w:t>
      </w:r>
      <w:r>
        <w:t xml:space="preserve">few exceptionally active communities).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Cross‑sectional ranking.</w:t>
      </w:r>
      <w:r>
        <w:t xml:space="preserve"> </w:t>
      </w:r>
      <w:r>
        <w:t xml:space="preserve">Compute the average z‑score for each</w:t>
      </w:r>
      <w:r>
        <w:t xml:space="preserve"> </w:t>
      </w:r>
      <w:r>
        <w:t xml:space="preserve">DAO across the sample period. Because z‑scores are centred at zero</w:t>
      </w:r>
      <w:r>
        <w:t xml:space="preserve"> </w:t>
      </w:r>
      <w:r>
        <w:t xml:space="preserve">within each DAO, averaging them yields a measure of persistent</w:t>
      </w:r>
      <w:r>
        <w:t xml:space="preserve"> </w:t>
      </w:r>
      <w:r>
        <w:t xml:space="preserve">outperformance or underperformance relative to the DAO’s own</w:t>
      </w:r>
      <w:r>
        <w:t xml:space="preserve"> </w:t>
      </w:r>
      <w:r>
        <w:t xml:space="preserve">history. Rank DAOs by their average z‑score and report the top and</w:t>
      </w:r>
      <w:r>
        <w:t xml:space="preserve"> </w:t>
      </w:r>
      <w:r>
        <w:t xml:space="preserve">bottom deciles. This ranking will guide manual price data</w:t>
      </w:r>
      <w:r>
        <w:t xml:space="preserve"> </w:t>
      </w:r>
      <w:r>
        <w:t xml:space="preserve">collection.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Trend analysis.</w:t>
      </w:r>
      <w:r>
        <w:t xml:space="preserve"> </w:t>
      </w:r>
      <w:r>
        <w:t xml:space="preserve">Examine whether z‑scores trend upward or</w:t>
      </w:r>
      <w:r>
        <w:t xml:space="preserve"> </w:t>
      </w:r>
      <w:r>
        <w:t xml:space="preserve">downward over time for individual DAOs. A sustained decline might</w:t>
      </w:r>
      <w:r>
        <w:t xml:space="preserve"> </w:t>
      </w:r>
      <w:r>
        <w:t xml:space="preserve">indicate governance fatigue, while a consistent increase might</w:t>
      </w:r>
      <w:r>
        <w:t xml:space="preserve"> </w:t>
      </w:r>
      <w:r>
        <w:t xml:space="preserve">suggest improving engagement.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Panel regression.</w:t>
      </w:r>
      <w:r>
        <w:t xml:space="preserve"> </w:t>
      </w:r>
      <w:r>
        <w:t xml:space="preserve">After merging with monthly token returns, fit</w:t>
      </w:r>
      <w:r>
        <w:t xml:space="preserve"> </w:t>
      </w:r>
      <w:r>
        <w:t xml:space="preserve">panel regressions of the form: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d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r>
            <m:t>β</m:t>
          </m:r>
          <m:sSub>
            <m:e>
              <m:r>
                <m:t>z</m:t>
              </m:r>
            </m:e>
            <m:sub>
              <m:r>
                <m:t>d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d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r_{d,t+1}</w:t>
      </w:r>
      <w:r>
        <w:t xml:space="preserve"> </w:t>
      </w:r>
      <w:r>
        <w:t xml:space="preserve">is the future return,</w:t>
      </w:r>
      <w:r>
        <w:t xml:space="preserve"> </w:t>
      </w:r>
      <w:r>
        <w:rPr>
          <w:rStyle w:val="VerbatimChar"/>
        </w:rPr>
        <w:t xml:space="preserve">z_{d,t}</w:t>
      </w:r>
      <w:r>
        <w:t xml:space="preserve"> </w:t>
      </w:r>
      <w:r>
        <w:t xml:space="preserve">is the</w:t>
      </w:r>
      <w:r>
        <w:t xml:space="preserve"> </w:t>
      </w:r>
      <w:r>
        <w:t xml:space="preserve">governance z‑score,</w:t>
      </w:r>
      <w:r>
        <w:t xml:space="preserve"> </w:t>
      </w:r>
      <m:oMath>
        <m:sSub>
          <m:e>
            <m:r>
              <m:t>γ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are DAO fixed effects and</w:t>
      </w:r>
      <w:r>
        <w:t xml:space="preserve"> </w:t>
      </w:r>
      <m:oMath>
        <m:sSub>
          <m:e>
            <m:r>
              <m:t>δ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month fixed effects. A positive and significant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would support the hypothesis that higher participation predicts</w:t>
      </w:r>
      <w:r>
        <w:t xml:space="preserve"> </w:t>
      </w:r>
      <w:r>
        <w:t xml:space="preserve">stronger subsequent price performance. Alternatively, one could</w:t>
      </w:r>
      <w:r>
        <w:t xml:space="preserve"> </w:t>
      </w:r>
      <w:r>
        <w:t xml:space="preserve">regress contemporaneous returns on</w:t>
      </w:r>
      <w:r>
        <w:t xml:space="preserve"> </w:t>
      </w:r>
      <w:r>
        <w:rPr>
          <w:rStyle w:val="VerbatimChar"/>
        </w:rPr>
        <w:t xml:space="preserve">z_{d,t}</w:t>
      </w:r>
      <w:r>
        <w:t xml:space="preserve"> </w:t>
      </w:r>
      <w:r>
        <w:t xml:space="preserve">or examine quintile</w:t>
      </w:r>
      <w:r>
        <w:t xml:space="preserve"> </w:t>
      </w:r>
      <w:r>
        <w:t xml:space="preserve">portfolios formed on z‑scores.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Robustness checks.</w:t>
      </w:r>
      <w:r>
        <w:t xml:space="preserve"> </w:t>
      </w:r>
      <w:r>
        <w:t xml:space="preserve">Repeat the analysis using</w:t>
      </w:r>
      <w:r>
        <w:t xml:space="preserve"> </w:t>
      </w:r>
      <w:r>
        <w:rPr>
          <w:rStyle w:val="VerbatimChar"/>
        </w:rPr>
        <w:t xml:space="preserve">votes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voters</w:t>
      </w:r>
      <w:r>
        <w:t xml:space="preserve"> </w:t>
      </w:r>
      <w:r>
        <w:t xml:space="preserve">in the numerator, or using the ratio of</w:t>
      </w:r>
      <w:r>
        <w:t xml:space="preserve"> </w:t>
      </w:r>
      <w:r>
        <w:rPr>
          <w:i/>
          <w:iCs/>
        </w:rPr>
        <w:t xml:space="preserve">voters to</w:t>
      </w:r>
      <w:r>
        <w:rPr>
          <w:i/>
          <w:iCs/>
        </w:rPr>
        <w:t xml:space="preserve"> </w:t>
      </w:r>
      <w:r>
        <w:rPr>
          <w:i/>
          <w:iCs/>
        </w:rPr>
        <w:t xml:space="preserve">treasury size</w:t>
      </w:r>
      <w:r>
        <w:t xml:space="preserve"> </w:t>
      </w:r>
      <w:r>
        <w:t xml:space="preserve">to account for economic stakes. Other potential</w:t>
      </w:r>
      <w:r>
        <w:t xml:space="preserve"> </w:t>
      </w:r>
      <w:r>
        <w:t xml:space="preserve">normalisations include dividing by the number of token holders or by</w:t>
      </w:r>
      <w:r>
        <w:t xml:space="preserve"> </w:t>
      </w:r>
      <w:r>
        <w:t xml:space="preserve">average gas costs, though the latter would require additional data.</w:t>
      </w:r>
    </w:p>
    <w:p>
      <w:pPr>
        <w:pStyle w:val="FirstParagraph"/>
      </w:pPr>
      <w:r>
        <w:t xml:space="preserve">Each of these analyses can be implemented in a few lines of code using</w:t>
      </w:r>
      <w:r>
        <w:t xml:space="preserve"> </w:t>
      </w:r>
      <w:r>
        <w:t xml:space="preserve">the exported master CSV and statistical packages such as</w:t>
      </w:r>
      <w:r>
        <w:t xml:space="preserve"> </w:t>
      </w:r>
      <w:r>
        <w:rPr>
          <w:rStyle w:val="VerbatimChar"/>
        </w:rPr>
        <w:t xml:space="preserve">statsmodels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linearmodels</w:t>
      </w:r>
      <w:r>
        <w:t xml:space="preserve"> </w:t>
      </w:r>
      <w:r>
        <w:t xml:space="preserve">for panel regressions.</w:t>
      </w:r>
    </w:p>
    <w:bookmarkEnd w:id="48"/>
    <w:bookmarkStart w:id="53" w:name="discussion-and-limitations"/>
    <w:p>
      <w:pPr>
        <w:pStyle w:val="Heading2"/>
      </w:pPr>
      <w:r>
        <w:t xml:space="preserve">Discussion and limitations</w:t>
      </w:r>
    </w:p>
    <w:bookmarkStart w:id="49" w:name="rationale-for-using-unique-voters"/>
    <w:p>
      <w:pPr>
        <w:pStyle w:val="Heading3"/>
      </w:pPr>
      <w:r>
        <w:t xml:space="preserve">Rationale for using unique voters</w:t>
      </w:r>
    </w:p>
    <w:p>
      <w:pPr>
        <w:pStyle w:val="FirstParagraph"/>
      </w:pPr>
      <w:r>
        <w:t xml:space="preserve">Unique voters count each participant once, regardless of how many</w:t>
      </w:r>
      <w:r>
        <w:t xml:space="preserve"> </w:t>
      </w:r>
      <w:r>
        <w:t xml:space="preserve">proposals they vote on or the weight of their tokens. This aligns</w:t>
      </w:r>
      <w:r>
        <w:t xml:space="preserve"> </w:t>
      </w:r>
      <w:r>
        <w:t xml:space="preserve">better with the democratic ethos of DAOs and avoids conflating</w:t>
      </w:r>
      <w:r>
        <w:t xml:space="preserve"> </w:t>
      </w:r>
      <w:r>
        <w:t xml:space="preserve">participation with wealth. While vote counts are informative, they</w:t>
      </w:r>
      <w:r>
        <w:t xml:space="preserve"> </w:t>
      </w:r>
      <w:r>
        <w:t xml:space="preserve">mix intensity (how many proposals are voted on) with concentration of</w:t>
      </w:r>
      <w:r>
        <w:t xml:space="preserve"> </w:t>
      </w:r>
      <w:r>
        <w:t xml:space="preserve">voting power. A future improvement could combine both metrics via</w:t>
      </w:r>
      <w:r>
        <w:t xml:space="preserve"> </w:t>
      </w:r>
      <w:r>
        <w:t xml:space="preserve">principal component analysis or factor analysis, but care must be</w:t>
      </w:r>
      <w:r>
        <w:t xml:space="preserve"> </w:t>
      </w:r>
      <w:r>
        <w:t xml:space="preserve">taken to avoid averaging z‑scores across metrics, which would collapse</w:t>
      </w:r>
      <w:r>
        <w:t xml:space="preserve"> </w:t>
      </w:r>
      <w:r>
        <w:t xml:space="preserve">the distribution to zero by definition.</w:t>
      </w:r>
    </w:p>
    <w:bookmarkEnd w:id="49"/>
    <w:bookmarkStart w:id="50" w:name="X01b6d749af169c5d4d7dfdb1c585a269c0dc89e"/>
    <w:p>
      <w:pPr>
        <w:pStyle w:val="Heading3"/>
      </w:pPr>
      <w:r>
        <w:t xml:space="preserve">Survivorship bias and sample representativeness</w:t>
      </w:r>
    </w:p>
    <w:p>
      <w:pPr>
        <w:pStyle w:val="FirstParagraph"/>
      </w:pPr>
      <w:r>
        <w:t xml:space="preserve">Selecting DAOs solely on the basis of AUM may bias the sample toward</w:t>
      </w:r>
      <w:r>
        <w:t xml:space="preserve"> </w:t>
      </w:r>
      <w:r>
        <w:t xml:space="preserve">large and financially successful projects. Smaller DAOs with active</w:t>
      </w:r>
      <w:r>
        <w:t xml:space="preserve"> </w:t>
      </w:r>
      <w:r>
        <w:t xml:space="preserve">communities but modest treasuries might be excluded. However, the</w:t>
      </w:r>
      <w:r>
        <w:t xml:space="preserve"> </w:t>
      </w:r>
      <w:r>
        <w:t xml:space="preserve">choice of AUM ranking is pragmatic: it is readily available via the</w:t>
      </w:r>
      <w:r>
        <w:t xml:space="preserve"> </w:t>
      </w:r>
      <w:r>
        <w:t xml:space="preserve">API, and it provides a consistent ordering from which to draw a</w:t>
      </w:r>
      <w:r>
        <w:t xml:space="preserve"> </w:t>
      </w:r>
      <w:r>
        <w:t xml:space="preserve">buffered sample. Inactive or failed DAOs that still have AUM on</w:t>
      </w:r>
      <w:r>
        <w:t xml:space="preserve"> </w:t>
      </w:r>
      <w:r>
        <w:t xml:space="preserve">DeepDAO may remain in the universe; if they have no governance data</w:t>
      </w:r>
      <w:r>
        <w:t xml:space="preserve"> </w:t>
      </w:r>
      <w:r>
        <w:t xml:space="preserve">they will be filtered out. To mitigate survivorship bias in future</w:t>
      </w:r>
      <w:r>
        <w:t xml:space="preserve"> </w:t>
      </w:r>
      <w:r>
        <w:t xml:space="preserve">studies, researchers could construct a custom list of DAOs from</w:t>
      </w:r>
      <w:r>
        <w:t xml:space="preserve"> </w:t>
      </w:r>
      <w:r>
        <w:t xml:space="preserve">archival data or include those with zero treasury but active voting on</w:t>
      </w:r>
      <w:r>
        <w:t xml:space="preserve"> </w:t>
      </w:r>
      <w:r>
        <w:t xml:space="preserve">Snapshot.</w:t>
      </w:r>
    </w:p>
    <w:bookmarkEnd w:id="50"/>
    <w:bookmarkStart w:id="51" w:name="external-validity-and-token-performance"/>
    <w:p>
      <w:pPr>
        <w:pStyle w:val="Heading3"/>
      </w:pPr>
      <w:r>
        <w:t xml:space="preserve">External validity and token performance</w:t>
      </w:r>
    </w:p>
    <w:p>
      <w:pPr>
        <w:pStyle w:val="FirstParagraph"/>
      </w:pPr>
      <w:r>
        <w:t xml:space="preserve">This report does not estimate the relation between participation and</w:t>
      </w:r>
      <w:r>
        <w:t xml:space="preserve"> </w:t>
      </w:r>
      <w:r>
        <w:t xml:space="preserve">token performance because price data is imported manually. Even after</w:t>
      </w:r>
      <w:r>
        <w:t xml:space="preserve"> </w:t>
      </w:r>
      <w:r>
        <w:t xml:space="preserve">merging, causality may be hard to establish: high participation could</w:t>
      </w:r>
      <w:r>
        <w:t xml:space="preserve"> </w:t>
      </w:r>
      <w:r>
        <w:t xml:space="preserve">lead to better project outcomes (causing higher returns), or</w:t>
      </w:r>
      <w:r>
        <w:t xml:space="preserve"> </w:t>
      </w:r>
      <w:r>
        <w:t xml:space="preserve">conversely rising prices could attract more voters. Instrumental</w:t>
      </w:r>
      <w:r>
        <w:t xml:space="preserve"> </w:t>
      </w:r>
      <w:r>
        <w:t xml:space="preserve">variables (e.g., governance shocks such as security incidents) or</w:t>
      </w:r>
      <w:r>
        <w:t xml:space="preserve"> </w:t>
      </w:r>
      <w:r>
        <w:t xml:space="preserve">Granger causality tests could help disentangle directionality.</w:t>
      </w:r>
    </w:p>
    <w:bookmarkEnd w:id="51"/>
    <w:bookmarkStart w:id="52" w:name="limitations-of-the-deepdao-api"/>
    <w:p>
      <w:pPr>
        <w:pStyle w:val="Heading3"/>
      </w:pPr>
      <w:r>
        <w:t xml:space="preserve">Limitations of the DeepDAO API</w:t>
      </w:r>
    </w:p>
    <w:p>
      <w:pPr>
        <w:pStyle w:val="FirstParagraph"/>
      </w:pPr>
      <w:r>
        <w:t xml:space="preserve">While DeepDAO aggregates governance data across multiple platforms, it</w:t>
      </w:r>
      <w:r>
        <w:t xml:space="preserve"> </w:t>
      </w:r>
      <w:r>
        <w:t xml:space="preserve">may not capture off‑chain discussions, informal voting or delegate</w:t>
      </w:r>
      <w:r>
        <w:t xml:space="preserve"> </w:t>
      </w:r>
      <w:r>
        <w:t xml:space="preserve">communications that occur outside of formal proposals. Moreover,</w:t>
      </w:r>
      <w:r>
        <w:t xml:space="preserve"> </w:t>
      </w:r>
      <w:r>
        <w:t xml:space="preserve">top‑level metrics such as voters and proposals do not account for</w:t>
      </w:r>
      <w:r>
        <w:t xml:space="preserve"> </w:t>
      </w:r>
      <w:r>
        <w:t xml:space="preserve">quorum thresholds, vote weights or controversialness of proposals. A</w:t>
      </w:r>
      <w:r>
        <w:t xml:space="preserve"> </w:t>
      </w:r>
      <w:r>
        <w:t xml:space="preserve">proposal that passes unanimously with few voters may have different</w:t>
      </w:r>
      <w:r>
        <w:t xml:space="preserve"> </w:t>
      </w:r>
      <w:r>
        <w:t xml:space="preserve">economic implications from one that narrowly passes with thousands of</w:t>
      </w:r>
      <w:r>
        <w:t xml:space="preserve"> </w:t>
      </w:r>
      <w:r>
        <w:t xml:space="preserve">voters. Incorporating richer metadata (e.g., proposal category,</w:t>
      </w:r>
      <w:r>
        <w:t xml:space="preserve"> </w:t>
      </w:r>
      <w:r>
        <w:t xml:space="preserve">passing margin) would yield a more nuanced governance score.</w:t>
      </w:r>
    </w:p>
    <w:bookmarkEnd w:id="52"/>
    <w:bookmarkEnd w:id="53"/>
    <w:bookmarkStart w:id="5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report outlines a rigorous methodology for quantifying governance</w:t>
      </w:r>
      <w:r>
        <w:t xml:space="preserve"> </w:t>
      </w:r>
      <w:r>
        <w:t xml:space="preserve">participation across DAOs and preparing the data for subsequent</w:t>
      </w:r>
      <w:r>
        <w:t xml:space="preserve"> </w:t>
      </w:r>
      <w:r>
        <w:t xml:space="preserve">econometric analysis. By extracting daily metrics from DeepDAO,</w:t>
      </w:r>
      <w:r>
        <w:t xml:space="preserve"> </w:t>
      </w:r>
      <w:r>
        <w:t xml:space="preserve">aggregating them to monthly voters‑per‑proposal ratios, standardising</w:t>
      </w:r>
      <w:r>
        <w:t xml:space="preserve"> </w:t>
      </w:r>
      <w:r>
        <w:t xml:space="preserve">via z‑scores and logging all failures, the pipeline yields a clean,</w:t>
      </w:r>
      <w:r>
        <w:t xml:space="preserve"> </w:t>
      </w:r>
      <w:r>
        <w:t xml:space="preserve">reproducible dataset. The choice of unique voters per proposal as the</w:t>
      </w:r>
      <w:r>
        <w:t xml:space="preserve"> </w:t>
      </w:r>
      <w:r>
        <w:t xml:space="preserve">primary variable reflects a desire to capture community engagement</w:t>
      </w:r>
      <w:r>
        <w:t xml:space="preserve"> </w:t>
      </w:r>
      <w:r>
        <w:t xml:space="preserve">rather than raw voting power. The z‑score normalisation, grounded in</w:t>
      </w:r>
      <w:r>
        <w:t xml:space="preserve"> </w:t>
      </w:r>
      <w:r>
        <w:t xml:space="preserve">standard statistical practice</w:t>
      </w:r>
      <w:hyperlink r:id="rId25">
        <w:r>
          <w:rPr>
            <w:rStyle w:val="Hyperlink"/>
          </w:rPr>
          <w:t xml:space="preserve">[4]</w:t>
        </w:r>
      </w:hyperlink>
      <w:r>
        <w:t xml:space="preserve">, ensures</w:t>
      </w:r>
      <w:r>
        <w:t xml:space="preserve"> </w:t>
      </w:r>
      <w:r>
        <w:t xml:space="preserve">comparability across DAOs. Once an API key is provided and the code</w:t>
      </w:r>
      <w:r>
        <w:t xml:space="preserve"> </w:t>
      </w:r>
      <w:r>
        <w:t xml:space="preserve">executed, researchers can merge the output with token price data and</w:t>
      </w:r>
      <w:r>
        <w:t xml:space="preserve"> </w:t>
      </w:r>
      <w:r>
        <w:t xml:space="preserve">test whether governance participation predicts financial performance. In</w:t>
      </w:r>
      <w:r>
        <w:t xml:space="preserve"> </w:t>
      </w:r>
      <w:r>
        <w:t xml:space="preserve">doing so, they will not only contribute to the empirical literature on</w:t>
      </w:r>
      <w:r>
        <w:t xml:space="preserve"> </w:t>
      </w:r>
      <w:r>
        <w:t xml:space="preserve">DAOs but also provide actionable insights for project founders and</w:t>
      </w:r>
      <w:r>
        <w:t xml:space="preserve"> </w:t>
      </w:r>
      <w:r>
        <w:t xml:space="preserve">delegates seeking to improve community engagement.</w:t>
      </w:r>
    </w:p>
    <w:bookmarkEnd w:id="54"/>
    <w:bookmarkEnd w:id="55"/>
    <w:bookmarkEnd w:id="56"/>
    <w:p>
      <w:r>
        <w:pict>
          <v:rect style="width:0;height:1.5pt" o:hralign="center" o:hrstd="t" o:hr="t"/>
        </w:pict>
      </w:r>
    </w:p>
    <w:bookmarkStart w:id="59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Web3 Governance Models: An Introduction to the Decision-Making Process in Web3 Projects</w:t>
      </w:r>
    </w:p>
    <w:p>
      <w:pPr>
        <w:pStyle w:val="BodyText"/>
      </w:pPr>
      <w:hyperlink r:id="rId57">
        <w:r>
          <w:rPr>
            <w:rStyle w:val="Hyperlink"/>
          </w:rPr>
          <w:t xml:space="preserve">https://www.hiro.so/blog/web3-governance-models-an-introduction-to-the-decision-making-process-in-web3-projects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Z-Score: Definition, Formula, Calculation &amp; Interpretation</w:t>
      </w:r>
    </w:p>
    <w:p>
      <w:pPr>
        <w:pStyle w:val="BodyText"/>
      </w:pPr>
      <w:hyperlink r:id="rId58">
        <w:r>
          <w:rPr>
            <w:rStyle w:val="Hyperlink"/>
          </w:rPr>
          <w:t xml:space="preserve">https://www.simplypsychology.org/z-score.html</w:t>
        </w:r>
      </w:hyperlink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www.hiro.so/blog/web3-governance-models-an-introduction-to-the-decision-making-process-in-web3-projects" TargetMode="External" /><Relationship Type="http://schemas.openxmlformats.org/officeDocument/2006/relationships/hyperlink" Id="rId22" Target="https://www.hiro.so/blog/web3-governance-models-an-introduction-to-the-decision-making-process-in-web3-projects#:~:text=Decentralize%20Your%20Project" TargetMode="External" /><Relationship Type="http://schemas.openxmlformats.org/officeDocument/2006/relationships/hyperlink" Id="rId21" Target="https://www.hiro.so/blog/web3-governance-models-an-introduction-to-the-decision-making-process-in-web3-projects#:~:text=While%20Web3%20governance%20can%20help,can%20adopt%20for%20your%20project" TargetMode="External" /><Relationship Type="http://schemas.openxmlformats.org/officeDocument/2006/relationships/hyperlink" Id="rId58" Target="https://www.simplypsychology.org/z-score.html" TargetMode="External" /><Relationship Type="http://schemas.openxmlformats.org/officeDocument/2006/relationships/hyperlink" Id="rId24" Target="https://www.simplypsychology.org/z-score.html#:~:text=%3E%20A%20z,value%20lies%20below%20the%20mean" TargetMode="External" /><Relationship Type="http://schemas.openxmlformats.org/officeDocument/2006/relationships/hyperlink" Id="rId25" Target="https://www.simplypsychology.org/z-score.html#:~:text=How%20To%20Calcu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www.hiro.so/blog/web3-governance-models-an-introduction-to-the-decision-making-process-in-web3-projects" TargetMode="External" /><Relationship Type="http://schemas.openxmlformats.org/officeDocument/2006/relationships/hyperlink" Id="rId22" Target="https://www.hiro.so/blog/web3-governance-models-an-introduction-to-the-decision-making-process-in-web3-projects#:~:text=Decentralize%20Your%20Project" TargetMode="External" /><Relationship Type="http://schemas.openxmlformats.org/officeDocument/2006/relationships/hyperlink" Id="rId21" Target="https://www.hiro.so/blog/web3-governance-models-an-introduction-to-the-decision-making-process-in-web3-projects#:~:text=While%20Web3%20governance%20can%20help,can%20adopt%20for%20your%20project" TargetMode="External" /><Relationship Type="http://schemas.openxmlformats.org/officeDocument/2006/relationships/hyperlink" Id="rId58" Target="https://www.simplypsychology.org/z-score.html" TargetMode="External" /><Relationship Type="http://schemas.openxmlformats.org/officeDocument/2006/relationships/hyperlink" Id="rId24" Target="https://www.simplypsychology.org/z-score.html#:~:text=%3E%20A%20z,value%20lies%20below%20the%20mean" TargetMode="External" /><Relationship Type="http://schemas.openxmlformats.org/officeDocument/2006/relationships/hyperlink" Id="rId25" Target="https://www.simplypsychology.org/z-score.html#:~:text=How%20To%20Calcu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2025-08-03T17:56:04Z</dcterms:created>
  <dcterms:modified xsi:type="dcterms:W3CDTF">2025-08-03T17:56:04Z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