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76"/>
      </w:pPr>
      <w:r>
        <w:rPr>
          <w:rFonts w:ascii="Times New Roman" w:cs="Times New Roman" w:eastAsia="Times New Roman" w:hAnsi="Times New Roman"/>
          <w:i/>
          <w:iCs/>
          <w:color w:val="444444"/>
          <w:sz w:val="24"/>
          <w:szCs w:val="24"/>
        </w:rPr>
        <w:t xml:space="preserve">Design Knowledge for Deep-Learning-Enabled Image-Based Decision Support Systems: Evidence From Power Line Maintenance Decision-Making</w:t>
      </w:r>
    </w:p>
    <w:p>
      <w:pPr>
        <w:spacing w:after="120" w:before="120" w:lin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Знания о проектировании систем поддержки принятия решений на основе изображений с применением глубокого обучения: опыт принятия решений по техническому обслуживанию линий электропередачи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color w:val="444444"/>
          <w:sz w:val="22"/>
          <w:szCs w:val="22"/>
        </w:rPr>
        <w:t xml:space="preserve">J. P. Landwehr, N. Kühl, J. Walk, M. Gnädig // Business &amp; Information Systems Engineering. 2022. Vol. 64, Issue 6. P. 707–728.</w:t>
      </w:r>
    </w:p>
    <w:p>
      <w:pPr>
        <w:pBdr>
          <w:bottom w:val="single" w:color="999999" w:sz="6" w:space="6"/>
        </w:pBdr>
        <w:spacing w:after="240" w:line="276"/>
      </w:pPr>
      <w:r>
        <w:rPr>
          <w:rFonts w:ascii="Times New Roman" w:cs="Times New Roman" w:eastAsia="Times New Roman" w:hAnsi="Times New Roman"/>
          <w:color w:val="444444"/>
          <w:sz w:val="22"/>
          <w:szCs w:val="22"/>
        </w:rPr>
        <w:t xml:space="preserve">Перевод фрагмента: разделы 2.4–4, с. 711–713. 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Термины из глоссария</w:t>
      </w:r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  <w:vertAlign w:val="superscript"/>
        </w:rPr>
        <w:t xml:space="preserve">7</w:t>
      </w:r>
      <w:r>
        <w:rPr>
          <w:rFonts w:ascii="Times New Roman" w:cs="Times New Roman" w:eastAsia="Times New Roman" w:hAnsi="Times New Roman"/>
          <w:color w:val="444444"/>
          <w:sz w:val="22"/>
          <w:szCs w:val="22"/>
        </w:rPr>
        <w:t xml:space="preserve"> выделены полужирным, цифра — номер термина в глоссарии.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Системы поддержки принятия решений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Доступ ко всё возрастающим объёмам изображений и возможности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глубокого обучения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 обработке изображений и извлечению из них информации открывают перспективы использования этих обширных данных и методов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глубокого обучения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повышения эффективности принятия решений (Chaudhuri and Bose 2020). Несмотря на свои возможности, методы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глубокого обучения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 особенности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свёрточные нейронные сети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3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пока нашли ограниченное применение в существующих исследованиях в области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информационных систем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целом (Kraus et al. 2020)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систем поддержки принятия решений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частности. Большинство исследований, посвящённых поддержке принятия решений на основе изображений, относится к медицинской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предметной области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(Ben-Cohen et al. 2017; Comaniciu et al. 1999). Однако в этих работах используются узкоспециализированные медицинские снимки, а не изображения видимого спектра. Среди немногочисленных публикаций о поддержке принятия решений на основе изображений с применением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глубокого обучения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немедицинских областях можно назвать приложения для технического обслуживания и мониторинга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на основе компьютерного зрения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7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также работы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анализу образов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8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(Xie et al. 2020; Schumann et al. 2019; Chaudhuri and Bose 2020; Nazerdeylami et al. 2019; Jamshidi et al. 2018; Ren et al. 2020).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Несмотря на эффективность методов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глубокого обучения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обработки изображений в смежных задачах поддержки принятия решений, ни в одной из предшествующих работ не даётся рекомендаций по проектированию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 частности, хотя все эти исследования направлены на повышение доступности данных и информации, в них практически не рассматривается, как преодолеть разрыв между собственно обработкой изображений и последующим извлечением информации, с одной стороны, и соответствующим эффективным и качественным принятием решений — с другой.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Обобщение и пробел в исследованиях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настоящей работы — объединить два направления исследований. В ней прикладные исследования в области обработки изображений для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технического обслуживания линий электропередачи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9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(ТО ЛЭП) сочетаются с потребностью в поддержке принятия решений в областях,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основанных на компьютерном зрении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7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 целом и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ТО ЛЭП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9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частности. Это позволяет раскрыть новый потенциал за счёт того, что ранее недоступные данные и информация, содержащиеся в отдельных изображениях, становятся доступными.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реализуем этот потенциал, исследуя среду автоматизированного технического обслуживания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элементов ЛЭП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10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на основе компьютерного зрения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7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уделяя основное внимание проектированию комплексного решения для поддержки принятия решений на основе изображений. Мы формируем знания о проектировании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оцениваем их, реализуя в виде конкретного артефакта для технического обслуживания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элементов ЛЭП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10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Мы дополняем рассмотренные существующие работы (см. табл. 1) тем, что нам удаётся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обнаруживать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элементы ЛЭП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10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сильно различающиеся по размеру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изоляторы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шплинты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13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что, по нашему мнению, является необходимым условием для перехода к поддержке принятия решений в данной области.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Методология исследования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настоящем исследовании формируются знания о проектировании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которая поддерживает принятие решений по техническому обслуживанию и планирование работ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инженерами по техническому обслуживанию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линий электропередачи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Поскольку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исследование в парадигме науки о проектировании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(Design Science Research, DSR) зарекомендовало себя не только как подходящая, но и как важная парадигма разработки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информационных систем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целом (Gregor and Hevner 2013)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частности (Arnott and Pervan 2012), мы следуем его этапам при разработке и оценке нашего артефакта. По своей сути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DSR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представляет собой парадигму решения задач, которая включает два основных и чётко разграниченных вида деятельности, направленных на поиск решений реальных проблем: (1) разработку инновационных артефактов в ходе ряда проектных работ на основе глубокого понимания проблемы, обосновывающих знаний и возможностей исследователя и (2) оценку нового артефакта, чтобы определить, насколько он способен решить выявленную проблему и насколько он для этого полезен (Hevner et al. 2004). Следуя этому «циклу построения и оценки» (Hevner et al. 2004), мы итеративно разрабатываем артефакт, чтобы расширить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базу знаний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17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Помимо этого цикла, который точнее называть циклом проектирования, Hevner (2007) выделяет ещё два цикла: цикл релевантности и цикл научной строгости. Все три цикла неразрывно связаны между собой и являются частью любого проекта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DSR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Цикл релевантности связывает среду,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предметную область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или компанию, на базе которой проводится исследование, с деятельностью в рамках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науки о проектировании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например за счёт учёта мнений экспертов-практиков. Он не только задаёт требования, проблемы и задачи исследования, но и определяет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критерии приёмки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18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(Hevner and Chatterjee 2010). Цикл научной строгости связывает деятельность в рамках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науки о проектировании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существующей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базой знаний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17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Он обеспечивает исследовательский проект знаниями, почерпнутыми из научных теорий, инженерных методов, опыта и экспертизы. Цикл проектирования, который, как правило, выполняется многократно, составляет ядро любого проекта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DSR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естественным образом опирается на результаты двух других циклов. В частности, в ходе цикла проектирования исследование итеративно чередует построение и оценку развивающегося артефакта (Hevner and Chatterjee 2010), чтобы в итоге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развернуть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19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артефакт в целевой среде, а также обобщить полученные выводы и внести вклад исследования в виде знаний о проектировании 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базу знаний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17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Как показано на общей схеме нашего исследования (рис. 1), мы начинаем с изучения среды, в которую встроено исследование. Затем мы описываем прикладной кейс (разд. 4.1) и рассматриваем связанные с ним трудности и проблемы (разд. 4.2). Объединяя полученные выводы со знаниями из базовых теорий, мы концептуализируем принципы и требования для класса задач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Далее мы создаём конкретный артефакт для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ТО ЛЭП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9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и, опираясь на общее представление 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предложенное Turban et al. (2010), в первом цикле проектирования сначала сосредотачиваемся на </w:t>
      </w: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8"/>
          <w:szCs w:val="28"/>
        </w:rPr>
        <w:t xml:space="preserve">модельном компоненте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20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(MC) нашего артефакта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(разд. 5.2). Затем во втором цикле проектирования мы переходим к </w:t>
      </w:r>
      <w:r>
        <w:rPr>
          <w:rFonts w:ascii="Times New Roman" w:cs="Times New Roman" w:eastAsia="Times New Roman" w:hAnsi="Times New Roman"/>
          <w:b/>
          <w:bCs/>
          <w:i/>
          <w:iCs/>
          <w:color w:val="1F4E79"/>
          <w:sz w:val="28"/>
          <w:szCs w:val="28"/>
        </w:rPr>
        <w:t xml:space="preserve">компоненту пользовательского интерфейса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(UIC) (разд. 5.3). Для организации оценки нашего артефакта мы применяем общую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концепцию оценки в науке о проектировании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(Framework for Evaluation in Design Science; Venable et al. 2016), чтобы строго продемонстрировать полезность и эффективность артефакта и лежащих в его основе знаний о проектировании. На рисунке 1 представлен обзор эпизодов оценки (EE), проведённых в этих циклах проектирования. Поскольку наша цель — показать техническую реализуемость и полезность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построенных с применением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глубокого обучения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мы начинаем с технической оценки, а затем переходим к натуралистическому контексту, то есть к реальным условиям применения.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Прикладной кейс и концептуализация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Наш артефакт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построенный на изображениях видимого спектра, предназначен для поддержки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инженеров по техническому обслуживанию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инфраструктуры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ЛЭП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принятии решений. Точнее, наша система помогает планировать отдельные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наряды на техническое обслуживание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определять объём работ по ремонту и замене элементов за счёт повышения качества данных и информации. Поскольку артефакт предназначен для работы в организационном контексте, он считается «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социотехническим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23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» (Gregor and Hevner 2013). Чтобы справиться со сложностью построения артефакта с учётом его масштаба, а также социальных и технических составляющих, Gregor and Hevner (2013) предлагают явным образом выделять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принципы проектирования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(DPs). Поэтому мы концептуализируем и предлагаем ряд предварительных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принципов проектирования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создания артефактов класса задач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СППР на основе изображений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предварительно изучив трудности, возникающие при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техническом обслуживании линий электропередачи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9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(ТО ЛЭП). Эти трудности переформулируются в предписывающей форме с соответствующим уровнем абстракции, в результате чего формируются предварительные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проектные требования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(DRs), которые затем служат основой для выработки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принципов проектирования</w:t>
      </w: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  <w:vertAlign w:val="superscript"/>
        </w:rPr>
        <w:t xml:space="preserve">24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2026-09-26T18:21:41.929Z</dcterms:created>
  <dcterms:modified xsi:type="dcterms:W3CDTF">2026-09-26T18:21:41.940Z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