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24DA3"/>
          <w:sz w:val="38"/>
        </w:rPr>
        <w:t>LUỒNG HOẠT ĐỘNG CÁC MODULE HỆ THỐNG HRM</w:t>
      </w:r>
    </w:p>
    <w:p>
      <w:pPr>
        <w:spacing w:after="240"/>
        <w:jc w:val="center"/>
      </w:pPr>
      <w:r>
        <w:rPr>
          <w:b w:val="0"/>
          <w:i/>
          <w:color w:val="555F6E"/>
          <w:sz w:val="24"/>
        </w:rPr>
        <w:t>Nhóm CODEDENNGU — tài liệu mô tả nghiệp vụ end-to-end (Nhân sự → Công &amp; Lịch → Lương)</w:t>
      </w:r>
    </w:p>
    <w:p>
      <w:pPr>
        <w:pStyle w:val="Heading1"/>
      </w:pPr>
      <w:r>
        <w:t>1. Bức tranh tổng thể — dữ liệu chảy xuyên 3 module</w:t>
      </w:r>
    </w:p>
    <w:p>
      <w:pPr>
        <w:spacing w:after="160"/>
        <w:ind w:left="340"/>
      </w:pPr>
      <w:r>
        <w:rPr>
          <w:b/>
          <w:sz w:val="25"/>
        </w:rPr>
        <w:t>NHÂN SỰ &amp; HỢP ĐỒNG</w:t>
      </w:r>
      <w:r>
        <w:rPr>
          <w:b/>
          <w:color w:val="C05300"/>
          <w:sz w:val="25"/>
        </w:rPr>
        <w:t xml:space="preserve">  →  </w:t>
      </w:r>
      <w:r>
        <w:rPr>
          <w:b/>
          <w:sz w:val="25"/>
        </w:rPr>
        <w:t>CÔNG &amp; LỊCH</w:t>
      </w:r>
      <w:r>
        <w:rPr>
          <w:b/>
          <w:color w:val="C05300"/>
          <w:sz w:val="25"/>
        </w:rPr>
        <w:t xml:space="preserve">  →  </w:t>
      </w:r>
      <w:r>
        <w:rPr>
          <w:b/>
          <w:sz w:val="25"/>
        </w:rPr>
        <w:t>LƯƠNG &amp; BÁO CÁO</w:t>
      </w:r>
    </w:p>
    <w:p>
      <w:pPr>
        <w:spacing w:after="120"/>
      </w:pPr>
      <w:r>
        <w:rPr>
          <w:b w:val="0"/>
          <w:i w:val="0"/>
          <w:sz w:val="26"/>
        </w:rPr>
        <w:t>Nguyên tắc xương sống: hồ sơ + hợp đồng sinh ra LƯƠNG CƠ BẢN; chấm công + đơn từ ĐÃ DUYỆT sinh ra BẢNG CÔNG THÁNG; engine lương đọc cả hai để ra PHIẾU LƯƠNG. Chỉ dữ liệu đã duyệt mới vào công và lương. Mọi bảng đều gắn tenant_id (đa công ty, cách ly dữ liệu) và mọi tham số luật đều nằm trong Cấu hình nghiệp vụ.</w:t>
      </w:r>
    </w:p>
    <w:p>
      <w:pPr>
        <w:pStyle w:val="Heading1"/>
      </w:pPr>
      <w:r>
        <w:t>2. Module Nhân sự &amp; Hợp đồng</w:t>
      </w:r>
    </w:p>
    <w:p>
      <w:pPr>
        <w:pStyle w:val="Heading2"/>
      </w:pPr>
      <w:r>
        <w:t>2.1. Luồng vào công ty (onboarding)</w:t>
      </w:r>
    </w:p>
    <w:p>
      <w:pPr>
        <w:spacing w:after="160"/>
        <w:ind w:left="340"/>
      </w:pPr>
      <w:r>
        <w:rPr>
          <w:b/>
          <w:sz w:val="25"/>
        </w:rPr>
        <w:t>Ứng viên (AI chấm điểm)</w:t>
      </w:r>
      <w:r>
        <w:rPr>
          <w:b/>
          <w:color w:val="C05300"/>
          <w:sz w:val="25"/>
        </w:rPr>
        <w:t xml:space="preserve">  →  </w:t>
      </w:r>
      <w:r>
        <w:rPr>
          <w:b/>
          <w:sz w:val="25"/>
        </w:rPr>
        <w:t>Phỏng vấn</w:t>
      </w:r>
      <w:r>
        <w:rPr>
          <w:b/>
          <w:color w:val="C05300"/>
          <w:sz w:val="25"/>
        </w:rPr>
        <w:t xml:space="preserve">  →  </w:t>
      </w:r>
      <w:r>
        <w:rPr>
          <w:b/>
          <w:sz w:val="25"/>
        </w:rPr>
        <w:t>Tạo hợp đồng từ mẫu</w:t>
      </w:r>
      <w:r>
        <w:rPr>
          <w:b/>
          <w:color w:val="C05300"/>
          <w:sz w:val="25"/>
        </w:rPr>
        <w:t xml:space="preserve">  →  </w:t>
      </w:r>
      <w:r>
        <w:rPr>
          <w:b/>
          <w:sz w:val="25"/>
        </w:rPr>
        <w:t>Ký điện tử (e-sign)</w:t>
      </w:r>
      <w:r>
        <w:rPr>
          <w:b/>
          <w:color w:val="C05300"/>
          <w:sz w:val="25"/>
        </w:rPr>
        <w:t xml:space="preserve">  →  </w:t>
      </w:r>
      <w:r>
        <w:rPr>
          <w:b/>
          <w:sz w:val="25"/>
        </w:rPr>
        <w:t>Hội nhập (checklist)</w:t>
      </w:r>
      <w:r>
        <w:rPr>
          <w:b/>
          <w:color w:val="C05300"/>
          <w:sz w:val="25"/>
        </w:rPr>
        <w:t xml:space="preserve">  →  </w:t>
      </w:r>
      <w:r>
        <w:rPr>
          <w:b/>
          <w:sz w:val="25"/>
        </w:rPr>
        <w:t>Hồ sơ nhân viên 360°</w:t>
      </w:r>
    </w:p>
    <w:p>
      <w:pPr>
        <w:pStyle w:val="ListBullet"/>
        <w:spacing w:after="60"/>
      </w:pPr>
      <w:r>
        <w:rPr>
          <w:b/>
        </w:rPr>
        <w:t xml:space="preserve">Hợp đồng: </w:t>
      </w:r>
      <w:r>
        <w:t>hợp đồng ACTIVE quyết định lương cơ bản (meta.basic_salary) — nguồn cho engine lương khi hồ sơ thiếu.</w:t>
      </w:r>
    </w:p>
    <w:p>
      <w:pPr>
        <w:pStyle w:val="ListBullet"/>
        <w:spacing w:after="60"/>
      </w:pPr>
      <w:r>
        <w:rPr>
          <w:b/>
        </w:rPr>
        <w:t xml:space="preserve">Hồ sơ: </w:t>
      </w:r>
      <w:r>
        <w:t>phòng ban (ma trận + phòng chính), chức danh, người quản lý, người phụ thuộc (giảm trừ thuế).</w:t>
      </w:r>
    </w:p>
    <w:p>
      <w:pPr>
        <w:pStyle w:val="Heading2"/>
      </w:pPr>
      <w:r>
        <w:t>2.2. Luồng biến động</w:t>
      </w:r>
    </w:p>
    <w:p>
      <w:pPr>
        <w:spacing w:after="160"/>
        <w:ind w:left="340"/>
      </w:pPr>
      <w:r>
        <w:rPr>
          <w:b/>
          <w:sz w:val="25"/>
        </w:rPr>
        <w:t>NV nộp đơn đổi thông tin</w:t>
      </w:r>
      <w:r>
        <w:rPr>
          <w:b/>
          <w:color w:val="C05300"/>
          <w:sz w:val="25"/>
        </w:rPr>
        <w:t xml:space="preserve">  →  </w:t>
      </w:r>
      <w:r>
        <w:rPr>
          <w:b/>
          <w:sz w:val="25"/>
        </w:rPr>
        <w:t>HR duyệt</w:t>
      </w:r>
      <w:r>
        <w:rPr>
          <w:b/>
          <w:color w:val="C05300"/>
          <w:sz w:val="25"/>
        </w:rPr>
        <w:t xml:space="preserve">  →  </w:t>
      </w:r>
      <w:r>
        <w:rPr>
          <w:b/>
          <w:sz w:val="25"/>
        </w:rPr>
        <w:t>Hồ sơ cập nhật + lưu vết</w:t>
      </w:r>
    </w:p>
    <w:p>
      <w:pPr>
        <w:spacing w:after="160"/>
        <w:ind w:left="340"/>
      </w:pPr>
      <w:r>
        <w:rPr>
          <w:b/>
          <w:sz w:val="25"/>
        </w:rPr>
        <w:t>Nghỉ việc: tạo checklist offboarding</w:t>
      </w:r>
      <w:r>
        <w:rPr>
          <w:b/>
          <w:color w:val="C05300"/>
          <w:sz w:val="25"/>
        </w:rPr>
        <w:t xml:space="preserve">  →  </w:t>
      </w:r>
      <w:r>
        <w:rPr>
          <w:b/>
          <w:sz w:val="25"/>
        </w:rPr>
        <w:t>Bàn giao</w:t>
      </w:r>
      <w:r>
        <w:rPr>
          <w:b/>
          <w:color w:val="C05300"/>
          <w:sz w:val="25"/>
        </w:rPr>
        <w:t xml:space="preserve">  →  </w:t>
      </w:r>
      <w:r>
        <w:rPr>
          <w:b/>
          <w:sz w:val="25"/>
        </w:rPr>
        <w:t>Khóa tài khoản, đổi status</w:t>
      </w:r>
    </w:p>
    <w:p>
      <w:pPr>
        <w:pStyle w:val="Heading1"/>
      </w:pPr>
      <w:r>
        <w:t>3. Module Công &amp; Lịch</w:t>
      </w:r>
    </w:p>
    <w:p>
      <w:pPr>
        <w:pStyle w:val="Heading2"/>
      </w:pPr>
      <w:r>
        <w:t>3.1. Xếp ca &amp; ca xoay tự động (nhà máy 3 ca)</w:t>
      </w:r>
    </w:p>
    <w:p>
      <w:pPr>
        <w:spacing w:after="160"/>
        <w:ind w:left="340"/>
      </w:pPr>
      <w:r>
        <w:rPr>
          <w:b/>
          <w:sz w:val="25"/>
        </w:rPr>
        <w:t>Định nghĩa ca (CA1/CA2/CA3…)</w:t>
      </w:r>
      <w:r>
        <w:rPr>
          <w:b/>
          <w:color w:val="C05300"/>
          <w:sz w:val="25"/>
        </w:rPr>
        <w:t xml:space="preserve">  →  </w:t>
      </w:r>
      <w:r>
        <w:rPr>
          <w:b/>
          <w:sz w:val="25"/>
        </w:rPr>
        <w:t>Xoay ca tự động theo tuần</w:t>
      </w:r>
      <w:r>
        <w:rPr>
          <w:b/>
          <w:color w:val="C05300"/>
          <w:sz w:val="25"/>
        </w:rPr>
        <w:t xml:space="preserve">  →  </w:t>
      </w:r>
      <w:r>
        <w:rPr>
          <w:b/>
          <w:sz w:val="25"/>
        </w:rPr>
        <w:t>Lịch ca từng nhân viên</w:t>
      </w:r>
    </w:p>
    <w:p>
      <w:pPr>
        <w:spacing w:after="120"/>
      </w:pPr>
      <w:r>
        <w:rPr>
          <w:b w:val="0"/>
          <w:i w:val="0"/>
          <w:sz w:val="26"/>
        </w:rPr>
        <w:t>Máy tự chia: nhân viên i, tuần w → đi ca số (i + w) mod số_ca. Ví dụ 3 tổ 3 ca: tuần này tổ A ca 1, tổ B ca 2, tổ C ca 3; sang tuần tự dịch 1 bậc (A→2, B→3, C→1) — đúng mô hình xoay 3-2-1 của nhà máy, KHÔNG phải xếp thủ công. Chạy lại chỉ ghi đè lịch tự sinh trong khoảng đó (an toàn với lịch xếp tay).</w:t>
      </w:r>
    </w:p>
    <w:p>
      <w:pPr>
        <w:pStyle w:val="ListBullet"/>
        <w:spacing w:after="60"/>
      </w:pPr>
      <w:r>
        <w:rPr>
          <w:b/>
        </w:rPr>
        <w:t xml:space="preserve">Ngoại lệ: </w:t>
      </w:r>
      <w:r>
        <w:t>đổi ca giữa 2 NV (duyệt), phủ ca khi vắng (mời người nhận ca + tự tạo đơn OT khi nhận).</w:t>
      </w:r>
    </w:p>
    <w:p>
      <w:pPr>
        <w:pStyle w:val="Heading2"/>
      </w:pPr>
      <w:r>
        <w:t>3.2. Chấm công → công tháng</w:t>
      </w:r>
    </w:p>
    <w:p>
      <w:pPr>
        <w:spacing w:after="160"/>
        <w:ind w:left="340"/>
      </w:pPr>
      <w:r>
        <w:rPr>
          <w:b/>
          <w:sz w:val="25"/>
        </w:rPr>
        <w:t>Chấm công (vân tay/khuôn mặt/thẻ/web)</w:t>
      </w:r>
      <w:r>
        <w:rPr>
          <w:b/>
          <w:color w:val="C05300"/>
          <w:sz w:val="25"/>
        </w:rPr>
        <w:t xml:space="preserve">  →  </w:t>
      </w:r>
      <w:r>
        <w:rPr>
          <w:b/>
          <w:sz w:val="25"/>
        </w:rPr>
        <w:t>So với ca được xếp</w:t>
      </w:r>
      <w:r>
        <w:rPr>
          <w:b/>
          <w:color w:val="C05300"/>
          <w:sz w:val="25"/>
        </w:rPr>
        <w:t xml:space="preserve">  →  </w:t>
      </w:r>
      <w:r>
        <w:rPr>
          <w:b/>
          <w:sz w:val="25"/>
        </w:rPr>
        <w:t>Phân loại: đúng giờ / trễ / về sớm / vắng</w:t>
      </w:r>
      <w:r>
        <w:rPr>
          <w:b/>
          <w:color w:val="C05300"/>
          <w:sz w:val="25"/>
        </w:rPr>
        <w:t xml:space="preserve">  →  </w:t>
      </w:r>
      <w:r>
        <w:rPr>
          <w:b/>
          <w:sz w:val="25"/>
        </w:rPr>
        <w:t>Bảng công tháng</w:t>
      </w:r>
    </w:p>
    <w:p>
      <w:pPr>
        <w:pStyle w:val="Heading2"/>
      </w:pPr>
      <w:r>
        <w:t>3.3. Đơn từ (nghỉ phép, tăng ca, điều chỉnh công)</w:t>
      </w:r>
    </w:p>
    <w:p>
      <w:pPr>
        <w:spacing w:after="160"/>
        <w:ind w:left="340"/>
      </w:pPr>
      <w:r>
        <w:rPr>
          <w:b/>
          <w:sz w:val="25"/>
        </w:rPr>
        <w:t>NV tạo đơn</w:t>
      </w:r>
      <w:r>
        <w:rPr>
          <w:b/>
          <w:color w:val="C05300"/>
          <w:sz w:val="25"/>
        </w:rPr>
        <w:t xml:space="preserve">  →  </w:t>
      </w:r>
      <w:r>
        <w:rPr>
          <w:b/>
          <w:sz w:val="25"/>
        </w:rPr>
        <w:t>Quản lý duyệt cấp 1</w:t>
      </w:r>
      <w:r>
        <w:rPr>
          <w:b/>
          <w:color w:val="C05300"/>
          <w:sz w:val="25"/>
        </w:rPr>
        <w:t xml:space="preserve">  →  </w:t>
      </w:r>
      <w:r>
        <w:rPr>
          <w:b/>
          <w:sz w:val="25"/>
        </w:rPr>
        <w:t>HR/GĐ duyệt cấp 2</w:t>
      </w:r>
      <w:r>
        <w:rPr>
          <w:b/>
          <w:color w:val="C05300"/>
          <w:sz w:val="25"/>
        </w:rPr>
        <w:t xml:space="preserve">  →  </w:t>
      </w:r>
      <w:r>
        <w:rPr>
          <w:b/>
          <w:sz w:val="25"/>
        </w:rPr>
        <w:t>ĐÃ DUYỆT → vào công tháng</w:t>
      </w:r>
    </w:p>
    <w:p>
      <w:pPr>
        <w:pStyle w:val="ListBullet"/>
        <w:spacing w:after="60"/>
      </w:pPr>
      <w:r>
        <w:rPr>
          <w:b/>
        </w:rPr>
        <w:t xml:space="preserve">Kiểm soát: </w:t>
      </w:r>
      <w:r>
        <w:t>đúng vai mới được duyệt (HR không duyệt hộ cấp quản lý); từ chối → trả về; có nhật ký.</w:t>
      </w:r>
    </w:p>
    <w:p>
      <w:pPr>
        <w:pStyle w:val="ListBullet"/>
        <w:spacing w:after="60"/>
      </w:pPr>
      <w:r>
        <w:rPr>
          <w:b/>
        </w:rPr>
        <w:t xml:space="preserve">Tăng ca: </w:t>
      </w:r>
      <w:r>
        <w:t>đơn OT ghi hệ số theo ngày (150/200/300%) + giờ đêm; OT quy đổi nghỉ bù thì không tính tiền.</w:t>
      </w:r>
    </w:p>
    <w:p>
      <w:pPr>
        <w:pStyle w:val="Heading1"/>
      </w:pPr>
      <w:r>
        <w:t>4. Module Lương &amp; Báo cáo</w:t>
      </w:r>
    </w:p>
    <w:p>
      <w:pPr>
        <w:pStyle w:val="Heading2"/>
      </w:pPr>
      <w:r>
        <w:t>4.1. Luồng tính lương một kỳ</w:t>
      </w:r>
    </w:p>
    <w:p>
      <w:pPr>
        <w:spacing w:after="160"/>
        <w:ind w:left="340"/>
      </w:pPr>
      <w:r>
        <w:rPr>
          <w:b/>
          <w:sz w:val="25"/>
        </w:rPr>
        <w:t>Chọn kỳ (OPEN)</w:t>
      </w:r>
      <w:r>
        <w:rPr>
          <w:b/>
          <w:color w:val="C05300"/>
          <w:sz w:val="25"/>
        </w:rPr>
        <w:t xml:space="preserve">  →  </w:t>
      </w:r>
      <w:r>
        <w:rPr>
          <w:b/>
          <w:sz w:val="25"/>
        </w:rPr>
        <w:t>Bấm Tính lương</w:t>
      </w:r>
      <w:r>
        <w:rPr>
          <w:b/>
          <w:color w:val="C05300"/>
          <w:sz w:val="25"/>
        </w:rPr>
        <w:t xml:space="preserve">  →  </w:t>
      </w:r>
      <w:r>
        <w:rPr>
          <w:b/>
          <w:sz w:val="25"/>
        </w:rPr>
        <w:t>Tự tổng hợp lại bảng công</w:t>
      </w:r>
      <w:r>
        <w:rPr>
          <w:b/>
          <w:color w:val="C05300"/>
          <w:sz w:val="25"/>
        </w:rPr>
        <w:t xml:space="preserve">  →  </w:t>
      </w:r>
      <w:r>
        <w:rPr>
          <w:b/>
          <w:sz w:val="25"/>
        </w:rPr>
        <w:t>Engine thác nước</w:t>
      </w:r>
      <w:r>
        <w:rPr>
          <w:b/>
          <w:color w:val="C05300"/>
          <w:sz w:val="25"/>
        </w:rPr>
        <w:t xml:space="preserve">  →  </w:t>
      </w:r>
      <w:r>
        <w:rPr>
          <w:b/>
          <w:sz w:val="25"/>
        </w:rPr>
        <w:t>Phiếu lương từng NV</w:t>
      </w:r>
      <w:r>
        <w:rPr>
          <w:b/>
          <w:color w:val="C05300"/>
          <w:sz w:val="25"/>
        </w:rPr>
        <w:t xml:space="preserve">  →  </w:t>
      </w:r>
      <w:r>
        <w:rPr>
          <w:b/>
          <w:sz w:val="25"/>
        </w:rPr>
        <w:t>Chốt kỳ (PAID/CLOSED = khóa)</w:t>
      </w:r>
    </w:p>
    <w:p>
      <w:pPr>
        <w:spacing w:after="120"/>
      </w:pPr>
      <w:r>
        <w:rPr>
          <w:b w:val="0"/>
          <w:i w:val="0"/>
          <w:sz w:val="26"/>
        </w:rPr>
        <w:t>Engine thác nước (mỗi nhân viên):</w:t>
      </w:r>
    </w:p>
    <w:p>
      <w:pPr>
        <w:spacing w:after="160"/>
        <w:ind w:left="340"/>
      </w:pPr>
      <w:r>
        <w:rPr>
          <w:b/>
          <w:color w:val="0F1E3D"/>
          <w:sz w:val="25"/>
        </w:rPr>
        <w:t>Lương cơ bản × tỷ lệ công</w:t>
      </w:r>
      <w:r>
        <w:rPr>
          <w:b/>
          <w:color w:val="C05300"/>
          <w:sz w:val="25"/>
        </w:rPr>
        <w:t xml:space="preserve">  →  </w:t>
      </w:r>
      <w:r>
        <w:rPr>
          <w:b/>
          <w:color w:val="0F1E3D"/>
          <w:sz w:val="25"/>
        </w:rPr>
        <w:t>+ Phụ cấp + Tăng ca (hệ số) + Khoán</w:t>
      </w:r>
      <w:r>
        <w:rPr>
          <w:b/>
          <w:color w:val="C05300"/>
          <w:sz w:val="25"/>
        </w:rPr>
        <w:t xml:space="preserve">  →  </w:t>
      </w:r>
      <w:r>
        <w:rPr>
          <w:b/>
          <w:color w:val="0F1E3D"/>
          <w:sz w:val="25"/>
        </w:rPr>
        <w:t>− BHXH/BHYT/BHTN (8/1,5/1%, có trần)</w:t>
      </w:r>
      <w:r>
        <w:rPr>
          <w:b/>
          <w:color w:val="C05300"/>
          <w:sz w:val="25"/>
        </w:rPr>
        <w:t xml:space="preserve">  →  </w:t>
      </w:r>
      <w:r>
        <w:rPr>
          <w:b/>
          <w:color w:val="0F1E3D"/>
          <w:sz w:val="25"/>
        </w:rPr>
        <w:t>− Giảm trừ gia cảnh</w:t>
      </w:r>
      <w:r>
        <w:rPr>
          <w:b/>
          <w:color w:val="C05300"/>
          <w:sz w:val="25"/>
        </w:rPr>
        <w:t xml:space="preserve">  →  </w:t>
      </w:r>
      <w:r>
        <w:rPr>
          <w:b/>
          <w:color w:val="0F1E3D"/>
          <w:sz w:val="25"/>
        </w:rPr>
        <w:t>− Thuế TNCN 5 bậc</w:t>
      </w:r>
      <w:r>
        <w:rPr>
          <w:b/>
          <w:color w:val="C05300"/>
          <w:sz w:val="25"/>
        </w:rPr>
        <w:t xml:space="preserve">  →  </w:t>
      </w:r>
      <w:r>
        <w:rPr>
          <w:b/>
          <w:color w:val="0F1E3D"/>
          <w:sz w:val="25"/>
        </w:rPr>
        <w:t>= THỰC LĨNH</w:t>
      </w:r>
    </w:p>
    <w:p>
      <w:pPr>
        <w:pStyle w:val="ListBullet"/>
        <w:spacing w:after="60"/>
      </w:pPr>
      <w:r>
        <w:rPr>
          <w:b/>
        </w:rPr>
        <w:t xml:space="preserve">Tỷ lệ công: </w:t>
      </w:r>
      <w:r>
        <w:t>vắng không phép + nghỉ không lương bị trừ theo ngày công; nghỉ CÓ phép không trừ.</w:t>
      </w:r>
    </w:p>
    <w:p>
      <w:pPr>
        <w:pStyle w:val="ListBullet"/>
        <w:spacing w:after="60"/>
      </w:pPr>
      <w:r>
        <w:rPr>
          <w:b/>
        </w:rPr>
        <w:t xml:space="preserve">Miễn thuế OT: </w:t>
      </w:r>
      <w:r>
        <w:t>phần phụ trội tăng ca/làm đêm (vượt 100% đơn giá) MIỄN thuế TNCN (luật 01/07/2026).</w:t>
      </w:r>
    </w:p>
    <w:p>
      <w:pPr>
        <w:pStyle w:val="ListBullet"/>
        <w:spacing w:after="60"/>
      </w:pPr>
      <w:r>
        <w:rPr>
          <w:b/>
        </w:rPr>
        <w:t xml:space="preserve">Khóa kỳ: </w:t>
      </w:r>
      <w:r>
        <w:t>kỳ đã trả (PAID) khóa cứng — tính lại bị chặn 409, phiếu đã trả không bao giờ bị ghi đè.</w:t>
      </w:r>
    </w:p>
    <w:p>
      <w:pPr>
        <w:pStyle w:val="Heading2"/>
      </w:pPr>
      <w:r>
        <w:t>4.2. Đầu ra</w:t>
      </w:r>
    </w:p>
    <w:p>
      <w:pPr>
        <w:pStyle w:val="ListBullet"/>
        <w:spacing w:after="60"/>
      </w:pPr>
      <w:r>
        <w:t>phiếu lương chi tiết (công tháng + thu nhập + khấu trừ + căn cứ thuế + chi phí DN đóng).</w:t>
      </w:r>
    </w:p>
    <w:p>
      <w:pPr>
        <w:pStyle w:val="ListBullet"/>
        <w:spacing w:after="60"/>
      </w:pPr>
      <w:r>
        <w:t>bảng lương cả kỳ, xuất Excel/PDF; nhân viên tự xem phiếu lương CỦA MÌNH (chặn xem người khác).</w:t>
      </w:r>
    </w:p>
    <w:p>
      <w:pPr>
        <w:pStyle w:val="Heading1"/>
      </w:pPr>
      <w:r>
        <w:t>5. Tham số luật — thay đổi chính sách chỉ cần sửa cấu hình</w:t>
      </w:r>
    </w:p>
    <w:p>
      <w:pPr>
        <w:spacing w:after="120"/>
      </w:pPr>
      <w:r>
        <w:rPr>
          <w:b w:val="0"/>
          <w:i w:val="0"/>
          <w:sz w:val="26"/>
        </w:rPr>
        <w:t>Tất cả nằm ở Cấu hình nghiệp vụ (per công ty), KHÔNG gắn cứng trong code: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8"/>
            <w:shd w:fill="124DA3"/>
          </w:tcPr>
          <w:p>
            <w:r/>
            <w:r>
              <w:rPr>
                <w:b/>
                <w:color w:val="FFFFFF"/>
                <w:sz w:val="24"/>
              </w:rPr>
              <w:t>Tham số</w:t>
            </w:r>
          </w:p>
        </w:tc>
        <w:tc>
          <w:tcPr>
            <w:tcW w:type="dxa" w:w="3515"/>
            <w:shd w:fill="124DA3"/>
          </w:tcPr>
          <w:p>
            <w:r/>
            <w:r>
              <w:rPr>
                <w:b/>
                <w:color w:val="FFFFFF"/>
                <w:sz w:val="24"/>
              </w:rPr>
              <w:t>Giá trị hiện hành (2026)</w:t>
            </w:r>
          </w:p>
        </w:tc>
        <w:tc>
          <w:tcPr>
            <w:tcW w:type="dxa" w:w="2721"/>
            <w:shd w:fill="124DA3"/>
          </w:tcPr>
          <w:p>
            <w:r/>
            <w:r>
              <w:rPr>
                <w:b/>
                <w:color w:val="FFFFFF"/>
                <w:sz w:val="24"/>
              </w:rPr>
              <w:t>Căn cứ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3"/>
              </w:rPr>
              <w:t>Biểu thuế TNCN</w:t>
            </w:r>
          </w:p>
        </w:tc>
        <w:tc>
          <w:tcPr>
            <w:tcW w:type="dxa" w:w="3515"/>
          </w:tcPr>
          <w:p>
            <w:r/>
            <w:r>
              <w:rPr>
                <w:sz w:val="23"/>
              </w:rPr>
              <w:t>5 bậc: 10/30/60/100tr — 5/10/20/30/35%</w:t>
            </w:r>
          </w:p>
        </w:tc>
        <w:tc>
          <w:tcPr>
            <w:tcW w:type="dxa" w:w="2721"/>
          </w:tcPr>
          <w:p>
            <w:r/>
            <w:r>
              <w:rPr>
                <w:sz w:val="23"/>
              </w:rPr>
              <w:t>Luật 109/2025/QH15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3"/>
              </w:rPr>
              <w:t>Giảm trừ gia cảnh</w:t>
            </w:r>
          </w:p>
        </w:tc>
        <w:tc>
          <w:tcPr>
            <w:tcW w:type="dxa" w:w="3515"/>
          </w:tcPr>
          <w:p>
            <w:r/>
            <w:r>
              <w:rPr>
                <w:sz w:val="23"/>
              </w:rPr>
              <w:t>15,5tr + 6,2tr/người phụ thuộc</w:t>
            </w:r>
          </w:p>
        </w:tc>
        <w:tc>
          <w:tcPr>
            <w:tcW w:type="dxa" w:w="2721"/>
          </w:tcPr>
          <w:p>
            <w:r/>
            <w:r>
              <w:rPr>
                <w:sz w:val="23"/>
              </w:rPr>
              <w:t>NQ 110/2025/UBTVQH15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3"/>
              </w:rPr>
              <w:t>Mức tham chiếu BHXH</w:t>
            </w:r>
          </w:p>
        </w:tc>
        <w:tc>
          <w:tcPr>
            <w:tcW w:type="dxa" w:w="3515"/>
          </w:tcPr>
          <w:p>
            <w:r/>
            <w:r>
              <w:rPr>
                <w:sz w:val="23"/>
              </w:rPr>
              <w:t>2,53tr (trần đóng 50,6tr)</w:t>
            </w:r>
          </w:p>
        </w:tc>
        <w:tc>
          <w:tcPr>
            <w:tcW w:type="dxa" w:w="2721"/>
          </w:tcPr>
          <w:p>
            <w:r/>
            <w:r>
              <w:rPr>
                <w:sz w:val="23"/>
              </w:rPr>
              <w:t>Luật BHXH 2024, hl 01/07/2026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3"/>
              </w:rPr>
              <w:t>Lương tối thiểu vùng I</w:t>
            </w:r>
          </w:p>
        </w:tc>
        <w:tc>
          <w:tcPr>
            <w:tcW w:type="dxa" w:w="3515"/>
          </w:tcPr>
          <w:p>
            <w:r/>
            <w:r>
              <w:rPr>
                <w:sz w:val="23"/>
              </w:rPr>
              <w:t>5,31tr (trần BHTN 106,2tr)</w:t>
            </w:r>
          </w:p>
        </w:tc>
        <w:tc>
          <w:tcPr>
            <w:tcW w:type="dxa" w:w="2721"/>
          </w:tcPr>
          <w:p>
            <w:r/>
            <w:r>
              <w:rPr>
                <w:sz w:val="23"/>
              </w:rPr>
              <w:t>NĐ 293/2025/NĐ-CP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3"/>
              </w:rPr>
              <w:t>Tỷ lệ BH (NLĐ/DN)</w:t>
            </w:r>
          </w:p>
        </w:tc>
        <w:tc>
          <w:tcPr>
            <w:tcW w:type="dxa" w:w="3515"/>
          </w:tcPr>
          <w:p>
            <w:r/>
            <w:r>
              <w:rPr>
                <w:sz w:val="23"/>
              </w:rPr>
              <w:t>10,5% / 21,5%</w:t>
            </w:r>
          </w:p>
        </w:tc>
        <w:tc>
          <w:tcPr>
            <w:tcW w:type="dxa" w:w="2721"/>
          </w:tcPr>
          <w:p>
            <w:r/>
            <w:r>
              <w:rPr>
                <w:sz w:val="23"/>
              </w:rPr>
              <w:t>Luật BHXH/BHYT/VL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3"/>
              </w:rPr>
              <w:t>Hệ số tăng ca</w:t>
            </w:r>
          </w:p>
        </w:tc>
        <w:tc>
          <w:tcPr>
            <w:tcW w:type="dxa" w:w="3515"/>
          </w:tcPr>
          <w:p>
            <w:r/>
            <w:r>
              <w:rPr>
                <w:sz w:val="23"/>
              </w:rPr>
              <w:t>150/200/300% theo ngày; đêm +30%</w:t>
            </w:r>
          </w:p>
        </w:tc>
        <w:tc>
          <w:tcPr>
            <w:tcW w:type="dxa" w:w="2721"/>
          </w:tcPr>
          <w:p>
            <w:r/>
            <w:r>
              <w:rPr>
                <w:sz w:val="23"/>
              </w:rPr>
              <w:t>Đ.98 BLLĐ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3"/>
              </w:rPr>
              <w:t>Miễn thuế phụ trội OT/đêm</w:t>
            </w:r>
          </w:p>
        </w:tc>
        <w:tc>
          <w:tcPr>
            <w:tcW w:type="dxa" w:w="3515"/>
          </w:tcPr>
          <w:p>
            <w:r/>
            <w:r>
              <w:rPr>
                <w:sz w:val="23"/>
              </w:rPr>
              <w:t>Bật (tắt được)</w:t>
            </w:r>
          </w:p>
        </w:tc>
        <w:tc>
          <w:tcPr>
            <w:tcW w:type="dxa" w:w="2721"/>
          </w:tcPr>
          <w:p>
            <w:r/>
            <w:r>
              <w:rPr>
                <w:sz w:val="23"/>
              </w:rPr>
              <w:t>TT 111/2013 + luật 01/07/2026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3"/>
              </w:rPr>
              <w:t>Thai sản</w:t>
            </w:r>
          </w:p>
        </w:tc>
        <w:tc>
          <w:tcPr>
            <w:tcW w:type="dxa" w:w="3515"/>
          </w:tcPr>
          <w:p>
            <w:r/>
            <w:r>
              <w:rPr>
                <w:sz w:val="23"/>
              </w:rPr>
              <w:t>180 ngày; con thứ 2: 210 ngày</w:t>
            </w:r>
          </w:p>
        </w:tc>
        <w:tc>
          <w:tcPr>
            <w:tcW w:type="dxa" w:w="2721"/>
          </w:tcPr>
          <w:p>
            <w:r/>
            <w:r>
              <w:rPr>
                <w:sz w:val="23"/>
              </w:rPr>
              <w:t>Đ.139 + luật 01/07/2026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3"/>
              </w:rPr>
              <w:t>Phép năm</w:t>
            </w:r>
          </w:p>
        </w:tc>
        <w:tc>
          <w:tcPr>
            <w:tcW w:type="dxa" w:w="3515"/>
          </w:tcPr>
          <w:p>
            <w:r/>
            <w:r>
              <w:rPr>
                <w:sz w:val="23"/>
              </w:rPr>
              <w:t>12 ngày + thâm niên; ngày lễ VN</w:t>
            </w:r>
          </w:p>
        </w:tc>
        <w:tc>
          <w:tcPr>
            <w:tcW w:type="dxa" w:w="2721"/>
          </w:tcPr>
          <w:p>
            <w:r/>
            <w:r>
              <w:rPr>
                <w:sz w:val="23"/>
              </w:rPr>
              <w:t>Đ.113–115 BLLĐ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3"/>
              </w:rPr>
              <w:t>Ngân sách quỹ lương tháng</w:t>
            </w:r>
          </w:p>
        </w:tc>
        <w:tc>
          <w:tcPr>
            <w:tcW w:type="dxa" w:w="3515"/>
          </w:tcPr>
          <w:p>
            <w:r/>
            <w:r>
              <w:rPr>
                <w:sz w:val="23"/>
              </w:rPr>
              <w:t>Tự đặt — cảnh báo khi vượt</w:t>
            </w:r>
          </w:p>
        </w:tc>
        <w:tc>
          <w:tcPr>
            <w:tcW w:type="dxa" w:w="2721"/>
          </w:tcPr>
          <w:p>
            <w:r/>
            <w:r>
              <w:rPr>
                <w:sz w:val="23"/>
              </w:rPr>
              <w:t>Quản trị nội bộ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2E7D32"/>
          <w:sz w:val="26"/>
        </w:rPr>
        <w:t>Khi Nhà nước đổi chính sách: Admin vào Cấu hình nghiệp vụ, sửa số, lưu — toàn hệ thống áp dụng ngay, không sửa code, không deploy lại.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24DA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F1E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