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0B6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  <w:bookmarkStart w:id="50" w:name="_GoBack"/>
      <w:bookmarkEnd w:id="50"/>
    </w:p>
    <w:p w14:paraId="7682D0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4A36E1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23997E6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center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  <w:t>面向国产硬件极致性能优化的推理引擎项目测试方案</w:t>
      </w:r>
    </w:p>
    <w:p w14:paraId="0433B2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center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  <w:r>
        <w:rPr>
          <w:rFonts w:ascii="Times New Roman" w:hAnsi="Times New Roman" w:eastAsia="宋体"/>
          <w:sz w:val="28"/>
        </w:rPr>
        <w:t>V5.4</w:t>
      </w:r>
    </w:p>
    <w:p w14:paraId="4202C3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53AF6E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03BB44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15584E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28EA9F8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hint="eastAsia" w:ascii="Times New Roman" w:hAnsi="Times New Roman" w:eastAsia="方正小标宋简体" w:cs="Times New Roman"/>
          <w:sz w:val="44"/>
          <w:szCs w:val="30"/>
          <w:highlight w:val="none"/>
          <w:lang w:val="en-US" w:eastAsia="zh-CN"/>
        </w:rPr>
      </w:pPr>
    </w:p>
    <w:p w14:paraId="5292E0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ascii="Times New Roman" w:hAnsi="Times New Roman" w:eastAsia="仿宋_GB2312" w:cs="Times New Roman"/>
          <w:color w:val="000000"/>
          <w:sz w:val="28"/>
          <w:szCs w:val="28"/>
          <w:highlight w:val="none"/>
        </w:rPr>
      </w:pPr>
    </w:p>
    <w:tbl>
      <w:tblPr>
        <w:tblStyle w:val="1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  <w:gridCol w:w="5834"/>
      </w:tblGrid>
      <w:tr w14:paraId="7CC1A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F9E9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highlight w:val="none"/>
                <w:lang w:val="en-US" w:eastAsia="zh-CN"/>
              </w:rPr>
              <w:t>课题编号</w:t>
            </w:r>
          </w:p>
        </w:tc>
        <w:tc>
          <w:tcPr>
            <w:tcW w:w="583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shd w:val="clear" w:color="auto" w:fill="auto"/>
            <w:vAlign w:val="center"/>
          </w:tcPr>
          <w:p w14:paraId="2C56D0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 w:firstLine="0" w:firstLineChars="0"/>
              <w:jc w:val="both"/>
              <w:rPr>
                <w:rFonts w:hint="default" w:ascii="仿宋_GB2312" w:eastAsia="宋体" w:hAnsiTheme="minorHAnsi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8"/>
                <w:szCs w:val="28"/>
                <w:highlight w:val="none"/>
                <w:lang w:val="en-US" w:eastAsia="zh-CN"/>
              </w:rPr>
              <w:t>2025ZD0123804</w:t>
            </w:r>
          </w:p>
        </w:tc>
      </w:tr>
      <w:tr w14:paraId="4E322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6C67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黑体" w:eastAsia="仿宋_GB2312" w:cs="Times New Roman"/>
                <w:b/>
                <w:bCs/>
                <w:sz w:val="32"/>
                <w:szCs w:val="24"/>
                <w:highlight w:val="none"/>
              </w:rPr>
              <w:t>课题名称</w:t>
            </w:r>
          </w:p>
        </w:tc>
        <w:tc>
          <w:tcPr>
            <w:tcW w:w="583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shd w:val="clear" w:color="auto" w:fill="auto"/>
            <w:vAlign w:val="center"/>
          </w:tcPr>
          <w:p w14:paraId="79D210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 w:firstLine="0" w:firstLineChars="0"/>
              <w:jc w:val="both"/>
              <w:rPr>
                <w:rFonts w:hint="default" w:ascii="仿宋_GB2312" w:eastAsia="仿宋_GB2312" w:hAnsiTheme="minorHAnsi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8"/>
                <w:szCs w:val="28"/>
                <w:highlight w:val="none"/>
                <w:lang w:val="en-US" w:eastAsia="zh-CN"/>
              </w:rPr>
              <w:t>面向国产硬件极致性能优化的推理引擎</w:t>
            </w:r>
          </w:p>
        </w:tc>
      </w:tr>
      <w:tr w14:paraId="2BCA3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67D3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黑体" w:eastAsia="仿宋_GB2312" w:cs="Times New Roman"/>
                <w:b/>
                <w:bCs/>
                <w:sz w:val="32"/>
                <w:szCs w:val="24"/>
                <w:highlight w:val="none"/>
                <w:lang w:val="en-US" w:eastAsia="zh-CN"/>
              </w:rPr>
              <w:t>课题负责人</w:t>
            </w:r>
          </w:p>
        </w:tc>
        <w:tc>
          <w:tcPr>
            <w:tcW w:w="583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F3B2A5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 w:firstLine="0" w:firstLineChars="0"/>
              <w:jc w:val="both"/>
              <w:rPr>
                <w:rFonts w:hint="eastAsia" w:ascii="仿宋_GB2312" w:eastAsia="仿宋_GB2312" w:hAnsiTheme="minorHAnsi" w:cstheme="minorBidi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ascii="仿宋_GB2312" w:eastAsia="仿宋_GB2312"/>
                <w:sz w:val="28"/>
                <w:szCs w:val="28"/>
                <w:highlight w:val="none"/>
                <w:lang w:val="en-US" w:eastAsia="zh-CN"/>
              </w:rPr>
              <w:t>张书豪</w:t>
            </w:r>
          </w:p>
        </w:tc>
      </w:tr>
      <w:tr w14:paraId="49216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A70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黑体" w:eastAsia="仿宋_GB2312" w:cs="Times New Roman"/>
                <w:b/>
                <w:bCs/>
                <w:sz w:val="32"/>
                <w:szCs w:val="24"/>
                <w:highlight w:val="none"/>
                <w:lang w:val="en-US" w:eastAsia="zh-CN"/>
              </w:rPr>
              <w:t>课题承担单位</w:t>
            </w:r>
          </w:p>
        </w:tc>
        <w:tc>
          <w:tcPr>
            <w:tcW w:w="583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vAlign w:val="center"/>
          </w:tcPr>
          <w:p w14:paraId="01F52C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ascii="Times New Roman" w:hAnsi="Times New Roman" w:eastAsia="仿宋_GB2312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hint="eastAsia" w:ascii="仿宋_GB2312" w:eastAsia="仿宋_GB2312"/>
                <w:sz w:val="28"/>
                <w:szCs w:val="28"/>
                <w:highlight w:val="none"/>
                <w:lang w:val="en-US" w:eastAsia="zh-CN"/>
              </w:rPr>
              <w:t>华中科技大学</w:t>
            </w:r>
          </w:p>
        </w:tc>
      </w:tr>
      <w:tr w14:paraId="0CB7C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3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F82B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hint="default" w:ascii="Times New Roman" w:hAnsi="Times New Roman" w:eastAsia="仿宋_GB2312" w:cs="Times New Roman"/>
                <w:b/>
                <w:bCs/>
                <w:color w:val="00000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ascii="仿宋_GB2312" w:hAnsi="黑体" w:eastAsia="仿宋_GB2312" w:cs="Times New Roman"/>
                <w:b/>
                <w:bCs/>
                <w:sz w:val="32"/>
                <w:szCs w:val="24"/>
                <w:highlight w:val="none"/>
                <w:lang w:val="en-US" w:eastAsia="zh-CN"/>
              </w:rPr>
              <w:t>执行期限</w:t>
            </w:r>
          </w:p>
        </w:tc>
        <w:tc>
          <w:tcPr>
            <w:tcW w:w="583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</w:tcBorders>
            <w:vAlign w:val="center"/>
          </w:tcPr>
          <w:p w14:paraId="5830AB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560" w:lineRule="exact"/>
              <w:ind w:left="0" w:leftChars="0" w:right="0" w:rightChars="0"/>
              <w:jc w:val="both"/>
              <w:rPr>
                <w:rFonts w:ascii="Times New Roman" w:hAnsi="Times New Roman" w:eastAsia="仿宋_GB2312" w:cs="Times New Roman"/>
                <w:color w:val="000000"/>
                <w:sz w:val="28"/>
                <w:szCs w:val="28"/>
                <w:highlight w:val="none"/>
              </w:rPr>
            </w:pPr>
            <w:r>
              <w:rPr>
                <w:rFonts w:ascii="Times New Roman" w:hAnsi="Times New Roman" w:eastAsia="仿宋_GB2312"/>
                <w:b w:val="0"/>
                <w:sz w:val="28"/>
              </w:rPr>
              <w:t>2025年12月—2028年11月</w:t>
            </w:r>
          </w:p>
        </w:tc>
      </w:tr>
    </w:tbl>
    <w:p w14:paraId="21937E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ascii="Times New Roman" w:hAnsi="Times New Roman" w:eastAsia="仿宋_GB2312" w:cs="Times New Roman"/>
          <w:color w:val="000000"/>
          <w:sz w:val="28"/>
          <w:szCs w:val="28"/>
          <w:highlight w:val="none"/>
        </w:rPr>
      </w:pPr>
    </w:p>
    <w:p w14:paraId="68FC9C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ascii="Times New Roman" w:hAnsi="Times New Roman" w:eastAsia="仿宋_GB2312" w:cs="Times New Roman"/>
          <w:color w:val="000000"/>
          <w:sz w:val="30"/>
          <w:szCs w:val="30"/>
          <w:highlight w:val="none"/>
        </w:rPr>
      </w:pPr>
    </w:p>
    <w:p w14:paraId="59A625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both"/>
        <w:rPr>
          <w:rFonts w:ascii="Times New Roman" w:hAnsi="Times New Roman" w:eastAsia="仿宋_GB2312" w:cs="Times New Roman"/>
          <w:color w:val="000000"/>
          <w:sz w:val="30"/>
          <w:szCs w:val="30"/>
          <w:highlight w:val="none"/>
        </w:rPr>
      </w:pPr>
    </w:p>
    <w:p w14:paraId="3E17E8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center"/>
        <w:rPr>
          <w:rFonts w:ascii="Times New Roman" w:hAnsi="Times New Roman" w:eastAsia="黑体" w:cs="Times New Roman"/>
          <w:sz w:val="28"/>
          <w:highlight w:val="none"/>
        </w:rPr>
      </w:pPr>
      <w:r>
        <w:rPr>
          <w:rFonts w:hint="eastAsia" w:ascii="Times New Roman" w:hAnsi="Times New Roman" w:eastAsia="黑体" w:cs="Times New Roman"/>
          <w:sz w:val="28"/>
          <w:highlight w:val="none"/>
          <w:lang w:val="en-US" w:eastAsia="zh-CN"/>
        </w:rPr>
        <w:t>浦江国家实验室</w:t>
      </w:r>
      <w:r>
        <w:rPr>
          <w:rFonts w:ascii="Times New Roman" w:hAnsi="Times New Roman" w:eastAsia="黑体" w:cs="Times New Roman"/>
          <w:sz w:val="28"/>
          <w:highlight w:val="none"/>
        </w:rPr>
        <w:t>制</w:t>
      </w:r>
    </w:p>
    <w:p w14:paraId="4CD89C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left="0" w:leftChars="0" w:right="0" w:rightChars="0"/>
        <w:jc w:val="center"/>
        <w:rPr>
          <w:rFonts w:hint="default" w:ascii="Times New Roman" w:hAnsi="Times New Roman" w:eastAsia="黑体" w:cs="Times New Roman"/>
          <w:sz w:val="28"/>
          <w:highlight w:val="none"/>
          <w:lang w:val="en-US" w:eastAsia="zh-CN"/>
        </w:rPr>
      </w:pPr>
      <w:r>
        <w:rPr>
          <w:rFonts w:ascii="Times New Roman" w:hAnsi="Times New Roman" w:eastAsia="黑体"/>
          <w:sz w:val="28"/>
        </w:rPr>
        <w:t>2026年10月10日</w:t>
      </w:r>
    </w:p>
    <w:p w14:paraId="4BC1260D">
      <w:pPr>
        <w:spacing w:before="120" w:after="120" w:line="480" w:lineRule="auto"/>
        <w:ind w:left="0" w:firstLine="0"/>
        <w:jc w:val="both"/>
        <w:rPr>
          <w:rFonts w:hint="default" w:ascii="Times New Roman" w:hAnsi="Times New Roman" w:eastAsia="黑体" w:cs="Times New Roman"/>
          <w:sz w:val="32"/>
          <w:szCs w:val="24"/>
          <w:lang w:val="en-US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274" w:bottom="709" w:left="1276" w:header="794" w:footer="472" w:gutter="0"/>
          <w:pgNumType w:fmt="decimal" w:start="1"/>
          <w:cols w:space="425" w:num="1"/>
          <w:docGrid w:type="lines" w:linePitch="312" w:charSpace="0"/>
        </w:sectPr>
      </w:pPr>
    </w:p>
    <w:p w14:paraId="36D7433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F38F468">
      <w:pPr>
        <w:pStyle w:val="28"/>
        <w:jc w:val="both"/>
        <w:rPr>
          <w:rFonts w:hint="eastAsia" w:hAnsi="Times New Roman" w:cs="Times New Roman"/>
        </w:rPr>
      </w:pPr>
      <w:bookmarkStart w:id="0" w:name="_Toc85420823"/>
      <w:bookmarkStart w:id="1" w:name="_Toc145736988"/>
      <w:bookmarkStart w:id="2" w:name="_Toc82832920"/>
      <w:bookmarkStart w:id="3" w:name="_Toc95126606"/>
      <w:bookmarkStart w:id="4" w:name="_Toc85420956"/>
      <w:bookmarkStart w:id="5" w:name="_Toc85421029"/>
      <w:bookmarkStart w:id="6" w:name="_Toc151802782"/>
      <w:r>
        <w:rPr>
          <w:rFonts w:hint="eastAsia" w:hAnsi="Times New Roman" w:cs="Times New Roman"/>
        </w:rPr>
        <w:t>目 录</w:t>
      </w:r>
    </w:p>
    <w:p w14:paraId="66241C4B">
      <w:pPr>
        <w:pStyle w:val="13"/>
        <w:tabs>
          <w:tab w:val="right" w:leader="dot" w:pos="8306"/>
        </w:tabs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fldChar w:fldCharType="begin"/>
      </w: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instrText xml:space="preserve"> TOC \o "1-3" \h \z \u </w:instrText>
      </w: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fldChar w:fldCharType="separate"/>
      </w:r>
      <w:r>
        <w:rPr>
          <w:rFonts w:hint="eastAsia" w:ascii="黑体" w:hAnsi="黑体" w:eastAsia="黑体" w:cs="黑体"/>
          <w:color w:val="000000"/>
          <w:kern w:val="0"/>
          <w:szCs w:val="28"/>
          <w:lang w:val="en-US" w:eastAsia="zh-CN" w:bidi="ar-SA"/>
        </w:rPr>
        <w:fldChar w:fldCharType="begin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instrText xml:space="preserve"> HYPERLINK \l _Toc1929 </w:instrText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1 依据文件</w:t>
      </w:r>
      <w:r>
        <w:tab/>
      </w:r>
      <w:r>
        <w:fldChar w:fldCharType="begin"/>
      </w:r>
      <w:r>
        <w:instrText xml:space="preserve"> PAGEREF _Toc1929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color w:val="000000"/>
          <w:kern w:val="0"/>
          <w:szCs w:val="28"/>
          <w:lang w:val="en-US" w:eastAsia="zh-CN" w:bidi="ar-SA"/>
        </w:rPr>
        <w:fldChar w:fldCharType="end"/>
      </w:r>
    </w:p>
    <w:p w14:paraId="0742FF51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_Toc30353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2 基本情况</w:t>
      </w:r>
      <w:r>
        <w:tab/>
      </w:r>
      <w:r>
        <w:fldChar w:fldCharType="begin"/>
      </w:r>
      <w:r>
        <w:instrText xml:space="preserve"> PAGEREF _Toc30353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26A6992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_Toc31955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2.1 项目简介</w:t>
      </w:r>
      <w:r>
        <w:tab/>
      </w:r>
      <w:r>
        <w:fldChar w:fldCharType="begin"/>
      </w:r>
      <w:r>
        <w:instrText xml:space="preserve"> PAGEREF _Toc31955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C903F04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_Toc13866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2.2 测试目的</w:t>
      </w:r>
      <w:r>
        <w:tab/>
      </w:r>
      <w:r>
        <w:fldChar w:fldCharType="begin"/>
      </w:r>
      <w:r>
        <w:instrText xml:space="preserve"> PAGEREF _Toc13866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AA7E71C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_Toc4927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2.3 测试范围</w:t>
      </w:r>
      <w:r>
        <w:tab/>
      </w:r>
      <w:r>
        <w:fldChar w:fldCharType="begin"/>
      </w:r>
      <w:r>
        <w:instrText xml:space="preserve"> PAGEREF _Toc4927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2C84BE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_Toc22627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3 测试环境</w:t>
      </w:r>
      <w:r>
        <w:tab/>
      </w:r>
      <w:r>
        <w:fldChar w:fldCharType="begin"/>
      </w:r>
      <w:r>
        <w:instrText xml:space="preserve"> PAGEREF _Toc22627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B0C19A8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_Toc19649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3.1 软硬件环境</w:t>
      </w:r>
      <w:r>
        <w:tab/>
      </w:r>
      <w:r>
        <w:fldChar w:fldCharType="begin"/>
      </w:r>
      <w:r>
        <w:instrText xml:space="preserve"> PAGEREF _Toc19649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4685450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_Toc22901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3.2 测试场地</w:t>
      </w:r>
      <w:r>
        <w:tab/>
      </w:r>
      <w:r>
        <w:fldChar w:fldCharType="begin"/>
      </w:r>
      <w:r>
        <w:instrText xml:space="preserve"> PAGEREF _Toc22901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B3343F7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_Toc5730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3.3 测试数据</w:t>
      </w:r>
      <w:r>
        <w:tab/>
      </w:r>
      <w:r>
        <w:fldChar w:fldCharType="begin"/>
      </w:r>
      <w:r>
        <w:instrText xml:space="preserve"> PAGEREF _Toc5730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4D9DF44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_Toc5425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 测试内容与方法</w:t>
      </w:r>
      <w:r>
        <w:tab/>
      </w:r>
      <w:r>
        <w:fldChar w:fldCharType="begin"/>
      </w:r>
      <w:r>
        <w:instrText xml:space="preserve"> PAGEREF _Toc5425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3F61E0FA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_Toc7147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4.1 必须交付：任务书四项考核指标</w:t>
      </w:r>
      <w:r>
        <w:tab/>
      </w:r>
      <w:r>
        <w:fldChar w:fldCharType="begin"/>
      </w:r>
      <w:r>
        <w:instrText xml:space="preserve"> PAGEREF _Toc7147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6BD2143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_Toc21112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4.2 必须交付：结果有效性检查</w:t>
      </w:r>
      <w:r>
        <w:tab/>
      </w:r>
      <w:r>
        <w:fldChar w:fldCharType="begin"/>
      </w:r>
      <w:r>
        <w:instrText xml:space="preserve"> PAGEREF _Toc21112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4485A01A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_Toc4628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4.3 额外交付：其他平台（端侧）与400B级大模型优化</w:t>
      </w:r>
      <w:r>
        <w:tab/>
      </w:r>
      <w:r>
        <w:fldChar w:fldCharType="begin"/>
      </w:r>
      <w:r>
        <w:instrText xml:space="preserve"> PAGEREF _Toc4628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77D4449E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_Toc7980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4.4 A1—A4指标与数据资产矩阵</w:t>
      </w:r>
      <w:r>
        <w:tab/>
      </w:r>
      <w:r>
        <w:fldChar w:fldCharType="begin"/>
      </w:r>
      <w:r>
        <w:instrText xml:space="preserve"> PAGEREF _Toc7980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60F3C14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_Toc29458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4.4.1 浦江指定数据集与35B B0/B1执行范围</w:t>
      </w:r>
      <w:r>
        <w:tab/>
      </w:r>
      <w:r>
        <w:fldChar w:fldCharType="begin"/>
      </w:r>
      <w:r>
        <w:instrText xml:space="preserve"> PAGEREF _Toc29458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 w14:paraId="36C7F813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_Toc10496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4.4.2 必须交付的补充负载：SWE长会话前缀复用</w:t>
      </w:r>
      <w:r>
        <w:tab/>
      </w:r>
      <w:r>
        <w:fldChar w:fldCharType="begin"/>
      </w:r>
      <w:r>
        <w:instrText xml:space="preserve"> PAGEREF _Toc10496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6E5A1216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_Toc18622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4.5 固定模型、负载与部署配置矩阵（含必须与额外）</w:t>
      </w:r>
      <w:r>
        <w:tab/>
      </w:r>
      <w:r>
        <w:fldChar w:fldCharType="begin"/>
      </w:r>
      <w:r>
        <w:instrText xml:space="preserve"> PAGEREF _Toc18622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4B736085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_Toc24991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4.5.1 负载覆盖与模型绑定</w:t>
      </w:r>
      <w:r>
        <w:tab/>
      </w:r>
      <w:r>
        <w:fldChar w:fldCharType="begin"/>
      </w:r>
      <w:r>
        <w:instrText xml:space="preserve"> PAGEREF _Toc24991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3A0BAB87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_Toc14494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4.5.2 权威基准与固定测试配置说明</w:t>
      </w:r>
      <w:r>
        <w:tab/>
      </w:r>
      <w:r>
        <w:fldChar w:fldCharType="begin"/>
      </w:r>
      <w:r>
        <w:instrText xml:space="preserve"> PAGEREF _Toc14494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069BBAA5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_Toc28907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4.5.3 模型族、规模层级与冻结</w:t>
      </w:r>
      <w:r>
        <w:tab/>
      </w:r>
      <w:r>
        <w:fldChar w:fldCharType="begin"/>
      </w:r>
      <w:r>
        <w:instrText xml:space="preserve"> PAGEREF _Toc28907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34A5577F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_Toc27036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4.5.4 大模型部署资源预算与容量门禁</w:t>
      </w:r>
      <w:r>
        <w:tab/>
      </w:r>
      <w:r>
        <w:fldChar w:fldCharType="begin"/>
      </w:r>
      <w:r>
        <w:instrText xml:space="preserve"> PAGEREF _Toc27036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7D14E5E4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_Toc20077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4.5.5 多级多卡部署场景与测试方案</w:t>
      </w:r>
      <w:r>
        <w:tab/>
      </w:r>
      <w:r>
        <w:fldChar w:fldCharType="begin"/>
      </w:r>
      <w:r>
        <w:instrText xml:space="preserve"> PAGEREF _Toc20077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70B6B9E5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_Toc22588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 测试方法与结果判定</w:t>
      </w:r>
      <w:r>
        <w:tab/>
      </w:r>
      <w:r>
        <w:fldChar w:fldCharType="begin"/>
      </w:r>
      <w:r>
        <w:instrText xml:space="preserve"> PAGEREF _Toc22588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4BC5C4BD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_Toc25400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4.6.1 环境和配置控制</w:t>
      </w:r>
      <w:r>
        <w:tab/>
      </w:r>
      <w:r>
        <w:fldChar w:fldCharType="begin"/>
      </w:r>
      <w:r>
        <w:instrText xml:space="preserve"> PAGEREF _Toc25400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29D00517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_Toc5500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4.6.2 负载与测量</w:t>
      </w:r>
      <w:r>
        <w:tab/>
      </w:r>
      <w:r>
        <w:fldChar w:fldCharType="begin"/>
      </w:r>
      <w:r>
        <w:instrText xml:space="preserve"> PAGEREF _Toc5500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033B7FB2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_Toc24507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4.6.3 重复与统计</w:t>
      </w:r>
      <w:r>
        <w:tab/>
      </w:r>
      <w:r>
        <w:fldChar w:fldCharType="begin"/>
      </w:r>
      <w:r>
        <w:instrText xml:space="preserve"> PAGEREF _Toc24507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24CF1706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_Toc3531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4.6.4 指标计算</w:t>
      </w:r>
      <w:r>
        <w:tab/>
      </w:r>
      <w:r>
        <w:fldChar w:fldCharType="begin"/>
      </w:r>
      <w:r>
        <w:instrText xml:space="preserve"> PAGEREF _Toc3531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2CF8DFA5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_Toc3424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4.6.5 A1有效算力专项规则</w:t>
      </w:r>
      <w:r>
        <w:tab/>
      </w:r>
      <w:r>
        <w:fldChar w:fldCharType="begin"/>
      </w:r>
      <w:r>
        <w:instrText xml:space="preserve"> PAGEREF _Toc3424 \h </w:instrText>
      </w:r>
      <w:r>
        <w:fldChar w:fldCharType="separate"/>
      </w:r>
      <w:r>
        <w:t>44</w:t>
      </w:r>
      <w:r>
        <w:fldChar w:fldCharType="end"/>
      </w:r>
      <w:r>
        <w:fldChar w:fldCharType="end"/>
      </w:r>
    </w:p>
    <w:p w14:paraId="75A51743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_Toc8386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4.6.6 A4全系统单位token成本规则</w:t>
      </w:r>
      <w:r>
        <w:tab/>
      </w:r>
      <w:r>
        <w:fldChar w:fldCharType="begin"/>
      </w:r>
      <w:r>
        <w:instrText xml:space="preserve"> PAGEREF _Toc8386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5779B868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_Toc25066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4.6.7 结果判定与复测</w:t>
      </w:r>
      <w:r>
        <w:tab/>
      </w:r>
      <w:r>
        <w:fldChar w:fldCharType="begin"/>
      </w:r>
      <w:r>
        <w:instrText xml:space="preserve"> PAGEREF _Toc25066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66E9DB2C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_Toc22393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4.6.8 研发阶段正确性门禁与专用性能测试</w:t>
      </w:r>
      <w:r>
        <w:tab/>
      </w:r>
      <w:r>
        <w:fldChar w:fldCharType="begin"/>
      </w:r>
      <w:r>
        <w:instrText xml:space="preserve"> PAGEREF _Toc22393 \h </w:instrText>
      </w:r>
      <w:r>
        <w:fldChar w:fldCharType="separate"/>
      </w:r>
      <w:r>
        <w:t>46</w:t>
      </w:r>
      <w:r>
        <w:fldChar w:fldCharType="end"/>
      </w:r>
      <w:r>
        <w:fldChar w:fldCharType="end"/>
      </w:r>
    </w:p>
    <w:p w14:paraId="5EBB0AEC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_Toc2793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4.6.9 横向比较限制与结果呈现规则</w:t>
      </w:r>
      <w:r>
        <w:tab/>
      </w:r>
      <w:r>
        <w:fldChar w:fldCharType="begin"/>
      </w:r>
      <w:r>
        <w:instrText xml:space="preserve"> PAGEREF _Toc2793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10CACC8B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_Toc14000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4.7 本课题测试交付与第三方评测</w:t>
      </w:r>
      <w:r>
        <w:tab/>
      </w:r>
      <w:r>
        <w:fldChar w:fldCharType="begin"/>
      </w:r>
      <w:r>
        <w:instrText xml:space="preserve"> PAGEREF _Toc14000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31CD6197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_Toc6600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4.7.1 本课题交付材料</w:t>
      </w:r>
      <w:r>
        <w:tab/>
      </w:r>
      <w:r>
        <w:fldChar w:fldCharType="begin"/>
      </w:r>
      <w:r>
        <w:instrText xml:space="preserve"> PAGEREF _Toc6600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0DD2B8A9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_Toc21289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4.7.2 第三方执行流程</w:t>
      </w:r>
      <w:r>
        <w:tab/>
      </w:r>
      <w:r>
        <w:fldChar w:fldCharType="begin"/>
      </w:r>
      <w:r>
        <w:instrText xml:space="preserve"> PAGEREF _Toc21289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7A3D2955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_Toc32056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5 测试风险分析</w:t>
      </w:r>
      <w:r>
        <w:tab/>
      </w:r>
      <w:r>
        <w:fldChar w:fldCharType="begin"/>
      </w:r>
      <w:r>
        <w:instrText xml:space="preserve"> PAGEREF _Toc32056 \h </w:instrText>
      </w:r>
      <w:r>
        <w:fldChar w:fldCharType="separate"/>
      </w:r>
      <w:r>
        <w:t>50</w:t>
      </w:r>
      <w:r>
        <w:fldChar w:fldCharType="end"/>
      </w:r>
      <w:r>
        <w:fldChar w:fldCharType="end"/>
      </w:r>
    </w:p>
    <w:p w14:paraId="427E40AF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_Toc16868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6 测试工作安排</w:t>
      </w:r>
      <w:r>
        <w:tab/>
      </w:r>
      <w:r>
        <w:fldChar w:fldCharType="begin"/>
      </w:r>
      <w:r>
        <w:instrText xml:space="preserve"> PAGEREF _Toc16868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0C24D92C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_Toc6919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6.1 测试进度</w:t>
      </w:r>
      <w:r>
        <w:tab/>
      </w:r>
      <w:r>
        <w:fldChar w:fldCharType="begin"/>
      </w:r>
      <w:r>
        <w:instrText xml:space="preserve"> PAGEREF _Toc6919 \h </w:instrText>
      </w:r>
      <w:r>
        <w:fldChar w:fldCharType="separate"/>
      </w:r>
      <w:r>
        <w:t>51</w:t>
      </w:r>
      <w:r>
        <w:fldChar w:fldCharType="end"/>
      </w:r>
      <w:r>
        <w:fldChar w:fldCharType="end"/>
      </w:r>
    </w:p>
    <w:p w14:paraId="1B7939A0">
      <w:pPr>
        <w:pStyle w:val="15"/>
        <w:tabs>
          <w:tab w:val="right" w:leader="dot" w:pos="8306"/>
        </w:tabs>
      </w:pPr>
      <w:r>
        <w:fldChar w:fldCharType="begin"/>
      </w:r>
      <w:r>
        <w:instrText xml:space="preserve"> HYPERLINK \l _Toc2841 </w:instrText>
      </w:r>
      <w:r>
        <w:fldChar w:fldCharType="separate"/>
      </w:r>
      <w:r>
        <w:rPr>
          <w:rFonts w:hint="eastAsia" w:ascii="黑体" w:hAnsi="黑体" w:eastAsia="黑体" w:cs="黑体"/>
          <w:kern w:val="0"/>
          <w:szCs w:val="28"/>
          <w:lang w:val="en-US" w:eastAsia="zh-CN" w:bidi="ar-SA"/>
        </w:rPr>
        <w:t>6.2 人员与职责</w:t>
      </w:r>
      <w:r>
        <w:tab/>
      </w:r>
      <w:r>
        <w:fldChar w:fldCharType="begin"/>
      </w:r>
      <w:r>
        <w:instrText xml:space="preserve"> PAGEREF _Toc2841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269AA261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_Toc13735 </w:instrText>
      </w:r>
      <w:r>
        <w:fldChar w:fldCharType="separate"/>
      </w:r>
      <w:r>
        <w:rPr>
          <w:rFonts w:ascii="Times New Roman" w:hAnsi="Times New Roman" w:eastAsia="黑体"/>
        </w:rPr>
        <w:t>附：正式测试配置冻结表</w:t>
      </w:r>
      <w:r>
        <w:tab/>
      </w:r>
      <w:r>
        <w:fldChar w:fldCharType="begin"/>
      </w:r>
      <w:r>
        <w:instrText xml:space="preserve"> PAGEREF _Toc13735 \h </w:instrText>
      </w:r>
      <w:r>
        <w:fldChar w:fldCharType="separate"/>
      </w:r>
      <w:r>
        <w:t>54</w:t>
      </w:r>
      <w:r>
        <w:fldChar w:fldCharType="end"/>
      </w:r>
      <w:r>
        <w:fldChar w:fldCharType="end"/>
      </w:r>
    </w:p>
    <w:p w14:paraId="7DBA50F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_Toc15906 </w:instrText>
      </w:r>
      <w:r>
        <w:fldChar w:fldCharType="separate"/>
      </w:r>
      <w:r>
        <w:rPr>
          <w:rFonts w:ascii="Times New Roman" w:hAnsi="Times New Roman" w:eastAsia="黑体"/>
        </w:rPr>
        <w:t>附（管理性）：V5.4封版前置门禁清单</w:t>
      </w:r>
      <w:r>
        <w:tab/>
      </w:r>
      <w:r>
        <w:fldChar w:fldCharType="begin"/>
      </w:r>
      <w:r>
        <w:instrText xml:space="preserve"> PAGEREF _Toc15906 \h </w:instrText>
      </w:r>
      <w:r>
        <w:fldChar w:fldCharType="separate"/>
      </w:r>
      <w:r>
        <w:t>82</w:t>
      </w:r>
      <w:r>
        <w:fldChar w:fldCharType="end"/>
      </w:r>
      <w:r>
        <w:fldChar w:fldCharType="end"/>
      </w:r>
    </w:p>
    <w:p w14:paraId="7AEB8176">
      <w:pPr>
        <w:pStyle w:val="28"/>
        <w:spacing w:line="400" w:lineRule="exact"/>
        <w:jc w:val="both"/>
        <w:rPr>
          <w:rFonts w:hint="eastAsia" w:hAnsi="Times New Roman" w:cs="Times New Roman"/>
        </w:rPr>
      </w:pPr>
      <w:r>
        <w:fldChar w:fldCharType="end"/>
      </w:r>
    </w:p>
    <w:p w14:paraId="1CA5F8F2">
      <w:pPr>
        <w:pStyle w:val="28"/>
        <w:jc w:val="both"/>
        <w:rPr>
          <w:rFonts w:hint="eastAsia"/>
        </w:rPr>
        <w:sectPr>
          <w:headerReference r:id="rId9" w:type="default"/>
          <w:footerReference r:id="rId10" w:type="default"/>
          <w:pgSz w:w="11906" w:h="16838"/>
          <w:pgMar w:top="1440" w:right="1800" w:bottom="1440" w:left="1800" w:header="851" w:footer="992" w:gutter="0"/>
          <w:pgNumType w:fmt="upperRoman" w:start="1"/>
          <w:cols w:space="720" w:num="1"/>
          <w:docGrid w:type="lines" w:linePitch="312" w:charSpace="0"/>
        </w:sectPr>
      </w:pPr>
    </w:p>
    <w:bookmarkEnd w:id="0"/>
    <w:bookmarkEnd w:id="1"/>
    <w:bookmarkEnd w:id="2"/>
    <w:bookmarkEnd w:id="3"/>
    <w:bookmarkEnd w:id="4"/>
    <w:bookmarkEnd w:id="5"/>
    <w:bookmarkEnd w:id="6"/>
    <w:p w14:paraId="007D6AA5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200" w:after="160" w:line="560" w:lineRule="exact"/>
        <w:jc w:val="both"/>
        <w:textAlignment w:val="baseline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7" w:name="_Toc1929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1 依据文件</w:t>
      </w:r>
      <w:bookmarkEnd w:id="7"/>
    </w:p>
    <w:p w14:paraId="6670FF6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方案对应《面向国产硬件的软硬协同训推关键技术与系统》项目任务书（所属项目编号：2025ZD0123800）中的课题4《面向国产硬件极致性能优化的推理引擎》（以下简称“本项目”），重点落实该课题第4.4节、表2-11及进度安排规定的考核指标、评测方式、阶段成果和最终交付要求。任务书的正式变更文件与本方案共同构成本项目测试依据。</w:t>
      </w:r>
    </w:p>
    <w:p w14:paraId="1801F20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方案的适用对象仅为本项目研制的vLLM-HUST推理引擎及其部署、测试和验收交付。本方案不承接所属总项目其他课题的训练系统、后训练框架、仿真环境服务或集成平台交付物，也不以其他课题指标替代本项目验收指标。</w:t>
      </w:r>
    </w:p>
    <w:p w14:paraId="1DADAD1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测试文档编制和实施同时参照GB/T 9386-2008、GB/T 15532-2008、GB/T 38634.1-2020及GB/T 25000.51-2016。华为云acs-bench推理性能测试实践和EvalScope模型推理性能压测文档，仅作为负载生成、并发爬坡、SLO goodput、分位数统计和结果采集的工具参考，不构成本项目基准测试或验收规则。公开基准测试采用官方发布版本、任务/数据、评价程序和指标；企业数据集与synthetic/hybrid数据只作为测试数据，按照授权、脱敏、生成、留存和删除要求使用，不因被回放而转化为基准测试。</w:t>
      </w:r>
    </w:p>
    <w:p w14:paraId="2AD50818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方案正文、附表及随方案归档的测试目标登记表共同构成正式验收依据，芯片与拓扑、模型工件、数值精度、基准软件、测试配置、数据选择规则、负载形状、SLO、指标口径、运行程序、启动参数和阈值统一执行。代码提交、镜像摘要、物理设备号、实际命令、配置校验值和运行回执作为执行记录纳入证据包。固定值不完整或执行记录与本方案不一致时，不得进入正式测量。任务书正式变更文件按变更控制程序纳入新版本方案。</w:t>
      </w:r>
    </w:p>
    <w:p w14:paraId="49A44CE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200" w:after="160" w:line="560" w:lineRule="exact"/>
        <w:jc w:val="both"/>
        <w:textAlignment w:val="baseline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8" w:name="_Toc30353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2 基本情况</w:t>
      </w:r>
      <w:bookmarkEnd w:id="8"/>
    </w:p>
    <w:p w14:paraId="3F27C92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9" w:name="_Toc31955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2.1 项目简介</w:t>
      </w:r>
      <w:bookmarkEnd w:id="9"/>
    </w:p>
    <w:p w14:paraId="745CF20C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本课题面向国产AI芯片研制vLLM-HUST推理引擎，测试对象包括引擎软件、固定模型工件及其部署配置，验收以任务书A1—A4和第三方可复核证据为依据。</w:t>
      </w:r>
    </w:p>
    <w:p w14:paraId="43B94D0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0" w:name="_Toc13866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2.2 测试目的</w:t>
      </w:r>
      <w:bookmarkEnd w:id="10"/>
    </w:p>
    <w:p w14:paraId="5860657F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方案用于验证vLLM-HUST在国产AI芯片上的推理性能、长上下文稳定性、单位token成本和工程可部署性，并形成可供第三方执行和复核的测试依据。测试对象是推理引擎及其部署配置，不以模型知识能力高低替代引擎性能结论。必须交付聚焦Qwen3.5-35B（千问35B）在通用（公开）数据集上的推理优化验证；额外交付扩展至Qwen3.5-35B在其他平台（端侧推理）上的优化，以及约400B级大模型（GLM 5.3 Flash、DeepSeek V4.1 Flash为主）的优化。本版E1、E2-G和E2-D统一冻结为active=false、NOT_EXECUTED_OPTIONAL，不注册正式target，不生成正式config_id，不开放正式测量队列；后续启用必须发布新版本并逐平台、逐模型、逐拓扑完整冻结执行合同。</w:t>
      </w:r>
    </w:p>
    <w:p w14:paraId="2CBEB37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1" w:name="_Toc4927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2.3 测试范围</w:t>
      </w:r>
      <w:bookmarkEnd w:id="11"/>
    </w:p>
    <w:p w14:paraId="2AF8A97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表2-1 完成级别、评价类别及结论效力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1721"/>
        <w:gridCol w:w="3336"/>
        <w:gridCol w:w="2180"/>
      </w:tblGrid>
      <w:tr w14:paraId="72119B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CCD3B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完成级别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DA806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评价类别</w:t>
            </w:r>
          </w:p>
        </w:tc>
        <w:tc>
          <w:tcPr>
            <w:tcW w:w="37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487B40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范围</w:t>
            </w:r>
          </w:p>
        </w:tc>
        <w:tc>
          <w:tcPr>
            <w:tcW w:w="26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3DC35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结论效力</w:t>
            </w:r>
          </w:p>
        </w:tc>
      </w:tr>
      <w:tr w14:paraId="448CC8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7A745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必须交付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856B4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任务书A1—A4（通用数据集优化）</w:t>
            </w:r>
          </w:p>
        </w:tc>
        <w:tc>
          <w:tcPr>
            <w:tcW w:w="37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D8CD1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Qwen3.5-35B（千问35B）双卡（2×910B2，TP=2）；P0及A1—A4均执行B0-BF16/B1-BF16；判定数据限于通用（公开）数据集：通用问答/多轮、工具调用、推理、结构化输出、长上下文、代码；A2-V模态适用性；完整证据包</w:t>
            </w:r>
          </w:p>
        </w:tc>
        <w:tc>
          <w:tcPr>
            <w:tcW w:w="26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A4DF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形成通过/不通过/不具备判定条件；W8A8缺失不阻塞BF16必测结论</w:t>
            </w:r>
          </w:p>
        </w:tc>
      </w:tr>
      <w:tr w14:paraId="48B87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44E1D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额外交付 E1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69203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Qwen3.5-35B其他平台优化（端侧推理）</w:t>
            </w:r>
          </w:p>
        </w:tc>
        <w:tc>
          <w:tcPr>
            <w:tcW w:w="37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7B850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Qwen3.5-35B在其他国产平台/端侧设备上的推理优化；每个平台独立冻结设备、运行时、量化格式、负载子集和SLO，并独立执行同平台B0/B1对照；本版状态固定为active=false，不注册正式target、config_id或测量队列</w:t>
            </w:r>
          </w:p>
        </w:tc>
        <w:tc>
          <w:tcPr>
            <w:tcW w:w="26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1EDB55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本版不启用（active=false；NOT_EXECUTED_OPTIONAL）；不得阻塞或替代必须交付</w:t>
            </w:r>
          </w:p>
        </w:tc>
      </w:tr>
      <w:tr w14:paraId="4B6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6D26F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额外交付 E2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57CED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约400B级大模型优化</w:t>
            </w:r>
          </w:p>
        </w:tc>
        <w:tc>
          <w:tcPr>
            <w:tcW w:w="377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E7929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GLM 5.3 Flash、DeepSeek V4.1 Flash为主（可按资源增补同量级模型，须先写入配置表）；多卡/单机8卡/多机；逐模型逐拓扑独立执行B0/B1对照；本版E2-G、E2-D均固定为active=false，不注册正式target、config_id或测量队列</w:t>
            </w:r>
          </w:p>
        </w:tc>
        <w:tc>
          <w:tcPr>
            <w:tcW w:w="263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D2AEB1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本版不启用（active=false；NOT_EXECUTED_OPTIONAL）；不得阻塞或替代必须交付</w:t>
            </w:r>
          </w:p>
        </w:tc>
      </w:tr>
    </w:tbl>
    <w:p w14:paraId="0B7B1CB3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方案只设“必须交付”和“额外交付”两个层级。必须交付以完成任务书A1—A4并形成第三方可判定证据为第一优先级，统一使用Qwen3.5-35B-A3B双卡（2×910B2，TP=2）作为主验收模型，并以通用（公开）数据集作为判定数据；企业数据集（派欧云PAIO系列）与synthetic/hybrid数据仅作补充与机制分析，单列报告，不参与A1—A4硬门槛判定。额外交付包含E1（Qwen3.5-35B其他平台/端侧推理优化）和E2（约400B级大模型优化）两项，分别单列，不得替代、冲抵或延后必须交付。浦江实验室已确定本次验收代表模型为Qwen3.5-35B-A3B，本方案及配套执行包均按该口径执行。</w:t>
      </w:r>
    </w:p>
    <w:p w14:paraId="20C91B24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交付边界与比较原则</w:t>
      </w:r>
    </w:p>
    <w:p w14:paraId="5CC63077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（1）逐项对齐：任务书四项考核指标A1—A4与必须交付测试项逐项对应（见表4-2a），额外交付E1、E2单列成章、单独编号，不占用A1—A4编号，也不参与A1—A4结论。</w:t>
      </w:r>
    </w:p>
    <w:p w14:paraId="7CEE1431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（2）禁止横向排名：实验设计与结果呈现中，不得在不同国产硬件平台之间、不同模型规模之间、不同部署拓扑之间进行横向排名、综合评分或同表排序；所有对比仅限“同平台、同模型、同拓扑、同精度”条件下的B0对B1纵向对照（见4.6.9）。</w:t>
      </w:r>
    </w:p>
    <w:p w14:paraId="42C9B553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（3）测量区间与SLO：长上下文稳定性（A3）和多租户成本（A4）测试必须明确有效测量区间和SLO约束，未明确或未满足时不得形成通过结论（见表4-2b）。</w:t>
      </w:r>
    </w:p>
    <w:p w14:paraId="0D08AC5D">
      <w:pPr>
        <w:keepNext/>
        <w:widowControl/>
        <w:spacing w:before="40" w:after="0" w:line="560" w:lineRule="exact"/>
        <w:ind w:left="0" w:right="0" w:firstLine="0"/>
        <w:jc w:val="both"/>
      </w:pPr>
      <w:r>
        <w:rPr>
          <w:rFonts w:ascii="Times New Roman" w:hAnsi="Times New Roman" w:eastAsia="黑体"/>
          <w:b/>
          <w:sz w:val="28"/>
        </w:rPr>
        <w:t>验收结论</w:t>
      </w:r>
    </w:p>
    <w:p w14:paraId="2B28F8D5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必须交付部分形成A1—A4任务书指标结论，结论为“通过/不通过/不具备判定条件”。四项指标、必要正确性检查、测量区间与SLO约束和证据链全部满足后方可判定通过。额外交付按平台/模型/拓扑逐项形成“完成/未通过/未执行”结论，只用于能力边界和亮点说明，不影响必须交付结论，且各项结论之间不作横向比较。</w:t>
      </w:r>
    </w:p>
    <w:p w14:paraId="5E23062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200" w:after="160" w:line="560" w:lineRule="exact"/>
        <w:jc w:val="both"/>
        <w:textAlignment w:val="baseline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2" w:name="_Toc22627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3 测试环境</w:t>
      </w:r>
      <w:bookmarkEnd w:id="12"/>
    </w:p>
    <w:p w14:paraId="00AECF7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3" w:name="_Toc19649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3.1 软硬件环境</w:t>
      </w:r>
      <w:bookmarkEnd w:id="13"/>
    </w:p>
    <w:p w14:paraId="4D5AF4C2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表3-1 测试对象与冻结要求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4450"/>
        <w:gridCol w:w="2500"/>
      </w:tblGrid>
      <w:tr w14:paraId="3F4C8D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941E0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对象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82B4E6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基本要求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305B28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正式测试前冻结内容</w:t>
            </w:r>
          </w:p>
        </w:tc>
      </w:tr>
      <w:tr w14:paraId="28EB20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4A491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国产AI芯片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D994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同规格910B2；必须交付2卡（TP=2）；额外交付按各自配置冻结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729FC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芯片型号、卡数、拓扑、理论峰值、驱动和固件；主机名和机架位置不作为趋势分组维度</w:t>
            </w:r>
          </w:p>
        </w:tc>
      </w:tr>
      <w:tr w14:paraId="0FB72C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A7BEA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固定模型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54AF9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必须：Qwen3.5-35B；额外：Qwen3.5-35B（其他平台）、GLM 5.3 Flash、DeepSeek V4.1 Flash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B881B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Qwen3.5-35B固定16位基线源工件（dtype为bfloat16，于表附-2冻结，B0/B1一致，本方案统称BF16必测线）；W8A8扩展工件独立登记；400B级模型固定仓库、版本、权重/tokenizer校验值、精度和上下文长度</w:t>
            </w:r>
          </w:p>
        </w:tc>
      </w:tr>
      <w:tr w14:paraId="4C7B5D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4D909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其他平台（E1）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5722B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平台/设备型号、运行时与推理引擎、量化格式由配置表逐平台冻结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8E74C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芯片/SoC型号、内存/显存、驱动与运行时版本、功耗模式、量化工件；各平台独立归档，不与910B2或其他平台合并统计</w:t>
            </w:r>
          </w:p>
        </w:tc>
      </w:tr>
      <w:tr w14:paraId="489850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71C0C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引擎对照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7CFB6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B0=固定vLLM 0.18；B1=固定优化版本；必测比较=B0-BF16对B1-BF16；W8A8为独立扩展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744E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B0/B1 exact refs见本方案；两侧镜像摘要、实际CLI、配置校验值和生效回执进入证据包</w:t>
            </w:r>
          </w:p>
        </w:tc>
      </w:tr>
      <w:tr w14:paraId="23C5B7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2F0FF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数据与负载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34E01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公开基准测试、固定子集、企业回放和受控负载形状分别登记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64A15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授权、样本标识、版本、顺序、随机种子、内容/token校验值、判定规则和解析器</w:t>
            </w:r>
          </w:p>
        </w:tc>
      </w:tr>
      <w:tr w14:paraId="234CED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8049B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执行配置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7A0B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每个profile_id提供B0、B1各自部署方式和启动YAML，并绑定同一规范化配置与外部测试合同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9152B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保存两侧原始YAML、规范化配置、环境变量和生效回执；BF16必测线除代码、镜像和角色标识外逐字段相同</w:t>
            </w:r>
          </w:p>
        </w:tc>
      </w:tr>
      <w:tr w14:paraId="0E119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9A977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启动参数合同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7757D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每个正式profile建立机器可读且不可变的共同启动参数和客户端合同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AD04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保存comparison_type、comparison_id、各角色config_id、BF16/W8A8工件清单、缓存/图执行/推测解码生效回执和合同核验记录</w:t>
            </w:r>
          </w:p>
        </w:tc>
      </w:tr>
      <w:tr w14:paraId="7A84F1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8391F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证据包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BFF28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配置标识、测试单元标识与解析后配置校验值一一对应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EC20C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原始请求、聚合结果、日志、来源记录、重复试验记录、签名和校验清单</w:t>
            </w:r>
          </w:p>
        </w:tc>
      </w:tr>
    </w:tbl>
    <w:p w14:paraId="13C50A5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4" w:name="_Toc22901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3.2 测试场地</w:t>
      </w:r>
      <w:bookmarkEnd w:id="14"/>
    </w:p>
    <w:p w14:paraId="1E78E0CE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正式性能测试在独立评测环境中执行，由第三方测试机构控制测试流程并独占所需910B2资源。持续集成系统仅提交测试请求，不直接占用加速卡。额外交付E1的端侧/其他平台设备由第三方按平台另行登记场地、设备序列号和环境条件。</w:t>
      </w:r>
    </w:p>
    <w:p w14:paraId="67793BE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5" w:name="_Toc5730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3.3 测试数据</w:t>
      </w:r>
      <w:bookmarkEnd w:id="15"/>
    </w:p>
    <w:p w14:paraId="12589913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测试数据采用可公开核验或具有合法授权的数据资产，并按A1固定形状与基础服务、A2通用问答/多轮、工具/Agent、推理、结构化输出、代码、长上下文及多模态适用性、A3长上下文/KV压力、A4五租户混合调度组织。浦江实验室指定MMLU-Pro、HLE-Verified、SWE-bench-Pro、FrontierScience和TerminalBench 2.1作为Qwen3.5-35B-A3B B0/B1优先验收数据集；指定名称只冻结范围，正式测试前仍须冻结revision、split、任务清单、抽样规则、scorer、执行环境、许可和SHA-256。不得以MMLU、SWE-bench Verified、旧版TerminalBench或其他近似数据集替代。每个指标配置仍绑定一组符合合同的数据集，同一物理资产只保存一份，跨A项、单元和租户通过manifest引用。数据执行档位为REQUIRED/SUPPLEMENTARY，指标交付档位为REQUIRED/ADDITIONAL，两者分别冻结、不得混用。正式config_id生成前冻结dataset_id、test_tier、contract_role、coverage_role、许可、版本、样本顺序、转换程序和token校验值；之后不得根据B0/B1结果换题或改档。企业数据与合成数据作为补充（SUPPLEMENTARY）单列报告。</w:t>
      </w:r>
    </w:p>
    <w:p w14:paraId="06548F7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200" w:after="160" w:line="560" w:lineRule="exact"/>
        <w:jc w:val="both"/>
        <w:textAlignment w:val="baseline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6" w:name="_Toc5425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 测试内容与方法</w:t>
      </w:r>
      <w:bookmarkEnd w:id="16"/>
    </w:p>
    <w:p w14:paraId="751095B4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正式测试配置是最小判定单元。A1—A4必须交付统一执行B0-BF16与B1-BF16同规格对照；通用问答/多轮另执行所选数据资产完整指定分片的全量对照P0。W8A8属于系统交付扩展P2：仅在不可变W8A8工件、质量回执和对应运行环境齐全时执行，不阻塞BF16必测结论。B0无需修改代码即可加载同一W8A8工件时，增加B0-W8A8与B1-W8A8同量化对照；否则分别报告B1-W8A8相对B1-BF16的量化增量以及B1-W8A8相对B0-BF16的端到端系统结果，不将后者表述为纯引擎优化收益。A2包含通用问答/多轮、工具调用、推理、结构化输出、长上下文和代码6个独立执行单元；A2-V对当前文本模型只执行资产及模态适用性检查，不产生通过结果。</w:t>
      </w:r>
    </w:p>
    <w:p w14:paraId="184C138D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 验收配置及结论归属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935"/>
        <w:gridCol w:w="1928"/>
        <w:gridCol w:w="2142"/>
        <w:gridCol w:w="1645"/>
      </w:tblGrid>
      <w:tr w14:paraId="56E33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61B577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配置名称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41E6C2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层级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31C377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模型/拓扑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7F06B8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绑定内容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200BCB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结论用途</w:t>
            </w:r>
          </w:p>
        </w:tc>
      </w:tr>
      <w:tr w14:paraId="249C8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786BE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A1有效算力配置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7F09E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FF36D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Qwen3.5-35B；双卡（TP=2）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7D2AA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4096×8主Prefill；1024×32、8192×4辅助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AD983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A1有效算力（双卡合计折算为单芯片均值）</w:t>
            </w:r>
          </w:p>
        </w:tc>
      </w:tr>
      <w:tr w14:paraId="168FC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5D4DF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A2典型场景性能配置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16515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95817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Qwen3.5-35B；双卡（TP=2）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25B14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6个独立BF16 profile：通用问答/多轮、工具调用、推理、结构化输出、长上下文、代码；A2-V另作模态适用性检查；各单元绑定数据集组manifest；W8A8另作扩展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C589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A2性能与能力证据</w:t>
            </w:r>
          </w:p>
        </w:tc>
      </w:tr>
      <w:tr w14:paraId="05418F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F9A40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A3长上下文稳定性配置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D5207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73EBA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Qwen3.5-35B；双卡（TP=2）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6748E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B0/B1 BF16；授权长文本data_profile_id；30720+2048；30分钟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F7B05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A3长上下文门禁</w:t>
            </w:r>
          </w:p>
        </w:tc>
      </w:tr>
      <w:tr w14:paraId="6D7C33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6220A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A4多租户成本配置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51EF8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7899C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Qwen3.5-35B；双卡（TP=2）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3CA3D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B0/B1 BF16；通用问答/多轮、工具/Agent、推理、结构化输出、代码五租户；启用前缀缓存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2C634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A4成本与利用率</w:t>
            </w:r>
          </w:p>
        </w:tc>
      </w:tr>
      <w:tr w14:paraId="0640B6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28340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E1其他平台扩展配置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43E19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43736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Qwen3.5-35B；其他平台/端侧设备（逐平台冻结）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DCFE6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平台可执行的通用负载子集；平台专用量化格式；平台内B0/B1对照；独立SLO；本版active=false，不生成执行配置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E7A132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本版不启用（NOT_EXECUTED_OPTIONAL）；仅保留能力范围，不形成验收结果</w:t>
            </w:r>
          </w:p>
        </w:tc>
      </w:tr>
      <w:tr w14:paraId="04B5E8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A6292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E2-G GLM 5.3 Flash扩展配置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5FA06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6D4B8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GLM 5.3 Flash（约400B级）；多卡/多机（逐拓扑冻结）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0C349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通用问答/多轮、工具调用、长上下文、代码中可执行项；本版active=false，不生成执行配置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BBD9CA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本版不启用（NOT_EXECUTED_OPTIONAL）；仅保留能力范围，不形成验收结果</w:t>
            </w:r>
          </w:p>
        </w:tc>
      </w:tr>
      <w:tr w14:paraId="1E5C8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9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01C25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E2-D DeepSeek V4.1 Flash扩展配置</w:t>
            </w:r>
          </w:p>
        </w:tc>
        <w:tc>
          <w:tcPr>
            <w:tcW w:w="9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B6E07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</w:t>
            </w:r>
          </w:p>
        </w:tc>
        <w:tc>
          <w:tcPr>
            <w:tcW w:w="192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271C9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 V4.1 Flash（约400B级）；单机8卡或多机（逐拓扑冻结）</w:t>
            </w:r>
          </w:p>
        </w:tc>
        <w:tc>
          <w:tcPr>
            <w:tcW w:w="2142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BFA26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高KV复用；标准代码服务；可执行通用负载；本版active=false，不生成执行配置</w:t>
            </w:r>
          </w:p>
        </w:tc>
        <w:tc>
          <w:tcPr>
            <w:tcW w:w="164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34425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本版不启用（NOT_EXECUTED_OPTIONAL）；仅保留能力范围，不形成验收结果</w:t>
            </w:r>
          </w:p>
        </w:tc>
      </w:tr>
    </w:tbl>
    <w:p w14:paraId="3890F7E1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B0固定为upstream vLLM 0.18基准：core提交bcf2be96120005e9aea171927f85055a6a5c0cf6，vLLM-Ascend插件提交e18643f8a4d5bd9990727654318ad069ea0b56e2，运行于Ascend v0.23代容器和CANN 9.1环境。</w:t>
      </w:r>
      <w:r>
        <w:rPr>
          <w:rFonts w:ascii="Times New Roman" w:hAnsi="Times New Roman" w:eastAsia="仿宋_GB2312"/>
          <w:sz w:val="28"/>
          <w:highlight w:val="none"/>
        </w:rPr>
        <w:t>B1为</w:t>
      </w:r>
      <w:r>
        <w:rPr>
          <w:rFonts w:hint="eastAsia" w:ascii="Times New Roman" w:hAnsi="Times New Roman" w:eastAsia="仿宋_GB2312"/>
          <w:sz w:val="28"/>
          <w:highlight w:val="none"/>
          <w:lang w:val="en-US" w:eastAsia="zh-CN"/>
        </w:rPr>
        <w:t>vLLM-HUST及其硬件插件的</w:t>
      </w:r>
      <w:r>
        <w:rPr>
          <w:rFonts w:ascii="Times New Roman" w:hAnsi="Times New Roman" w:eastAsia="仿宋_GB2312"/>
          <w:sz w:val="28"/>
          <w:highlight w:val="none"/>
        </w:rPr>
        <w:t>正式优化验收版本。</w:t>
      </w:r>
      <w:r>
        <w:rPr>
          <w:rFonts w:ascii="Times New Roman" w:hAnsi="Times New Roman" w:eastAsia="仿宋_GB2312"/>
          <w:sz w:val="28"/>
        </w:rPr>
        <w:t>P0和A1—A4必测线均为B0-BF16与B1-BF16；硬件、模型、精度、数据、请求、到达序列、采样、SLO、测量周期、服务配置和图执行逐项相同，只允许代码提交、对应镜像身份和角色标识不同。P0及A2—A4两侧均使用FULL_DECODE_ONLY和相同capture sizes。W8A8扩展严格执行表附-1固定角色合同，除模型工件、服务名称和quantization三项固定取值外，其余字段逐项一致，不得现场增加其他差别或例外。</w:t>
      </w:r>
    </w:p>
    <w:p w14:paraId="22F8D5C4">
      <w:pPr>
        <w:jc w:val="both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sectPr>
          <w:headerReference r:id="rId11" w:type="default"/>
          <w:footerReference r:id="rId12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 w14:paraId="2C8249E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7" w:name="_Toc7147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4.1 必须交付：任务书四项考核指标</w:t>
      </w:r>
      <w:bookmarkEnd w:id="17"/>
    </w:p>
    <w:p w14:paraId="7EDC713C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为便于第三方逐项核验，任务书四项考核指标与必须交付测试项逐项对齐如表4-2a；额外交付E1、E2与A1—A4无对应关系，不并入任一指标的结论。</w:t>
      </w:r>
    </w:p>
    <w:p w14:paraId="1D592018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表4-2a 任务书四项考核指标与测试项对照</w:t>
      </w:r>
    </w:p>
    <w:tbl>
      <w:tblPr>
        <w:tblStyle w:val="17"/>
        <w:tblW w:w="15394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9"/>
        <w:gridCol w:w="1510"/>
        <w:gridCol w:w="5408"/>
        <w:gridCol w:w="2511"/>
        <w:gridCol w:w="5386"/>
      </w:tblGrid>
      <w:tr w14:paraId="260DD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51F215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任务书指标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C76C25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必须交付测试项（Qwen3.5-35B双卡）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A2C20E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数据集/负载（通用）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319459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对应profile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BDEDCD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额外交付关系（单列）</w:t>
            </w:r>
          </w:p>
        </w:tc>
      </w:tr>
      <w:tr w14:paraId="04C4CD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1A4B8F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 单芯片有效算力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248655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主形状4096×8（辅助1024×32、8192×4）；输出1 token；MFU按双卡合计折算单芯片均值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CE945D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A1-COMPUTE：tokenizer-exact synthetic、vLLM random等固定形状生成器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B62479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A1-BF16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CC9D9F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E1/E2不设A1对应项；额外交付的算力/带宽数据仅平台内自报，不进入A1</w:t>
            </w:r>
          </w:p>
        </w:tc>
      </w:tr>
      <w:tr w14:paraId="095EC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5F2A9E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 典型场景性能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DF3E5B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P0全量对照 + 6个独立执行单元（通用问答/多轮、工具调用、推理、结构化输出、长上下文、代码）+ A2-V模态适用性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19860D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DIALOGUE/TOOL/REASON/STRUCT/LONG/CODE-GROUP 通用公开数据集组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34451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P0-DIALOGUE-BF16；A2-*-BF16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C8026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E1在其他平台执行可执行子集；E2执行GLM/DeepSeek同类负载；均单列</w:t>
            </w:r>
          </w:p>
        </w:tc>
      </w:tr>
      <w:tr w14:paraId="68C353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EC5111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A3 32K长上下文稳定性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0D3C8F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总上下文32768=输入30720+输出2048；并发1；预热5分钟、测量30分钟（6×5分钟窗口）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20D199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LONG-KV-GROUP / LONG-PUBLIC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BFF368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A3-32K-BF16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4448D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E2长上下文（如执行）按各自上下文上限单列，不替代A3</w:t>
            </w:r>
          </w:p>
        </w:tc>
      </w:tr>
      <w:tr w14:paraId="5B203D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3D3EF5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A4 成本与多租户利用率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3B1DC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五租户混合；固定点扫描B0容量后在70%共同负载对照；预热5分钟、测量30分钟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E3A634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引用A2的通用问答/多轮、工具/Agent、推理、结构化输出、代码同一物理资产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A0A711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A4-MT-BF16-PC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1AAE2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E1/E2成本仅在各自平台/拓扑内报告，不参与A4，不跨配置比较</w:t>
            </w:r>
          </w:p>
        </w:tc>
      </w:tr>
    </w:tbl>
    <w:p w14:paraId="03FB1B4D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表4-2 任务书考核指标、测试方法与通过要求</w:t>
      </w:r>
    </w:p>
    <w:tbl>
      <w:tblPr>
        <w:tblStyle w:val="17"/>
        <w:tblW w:w="15394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1862"/>
        <w:gridCol w:w="3080"/>
        <w:gridCol w:w="3097"/>
        <w:gridCol w:w="6641"/>
      </w:tblGrid>
      <w:tr w14:paraId="26ABF3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B86614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68CE3E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考核指标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769A21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精确执行合同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9983B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通过要求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90FF22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主要证据</w:t>
            </w:r>
          </w:p>
        </w:tc>
      </w:tr>
      <w:tr w14:paraId="3505E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B9C64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6E1EE4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单芯片有效算力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8E78E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主形状：输入4096 token、批量8；辅助形状：输入1024 token、批量32和输入8192 token、批量4；输出1 token；BF16；张量并行2（双卡）、流水/数据并行均为1；最大模型长度32768；显存利用率0.85；关闭前缀缓存和分块预填充；最大序列数32；单批最大token数32768；预热10轮、测量30轮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8326F8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主形状的单芯片均值（双卡合计有效算量÷2÷单卡峰值分母）达到910B2设备BF16峰值分母的90%以上；峰值分母取ascend-dmi三次独占测量中位数；effective_compute_spec v1与msprof误差不超过3%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C8261D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算量规范、ascend-dmi输出、性能分析与计数器记录、同步墙钟时间、3次独立生命周期</w:t>
            </w:r>
          </w:p>
        </w:tc>
      </w:tr>
      <w:tr w14:paraId="571FD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A44B29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CE83CA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典型场景性能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FED9BC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含6个独立BF16执行单元。每个单元按表4-5绑定数据集组manifest；同组多个REQUIRED数据集分别执行、分别报告。通用问答/多轮执行P0和容量扫描；工具、推理、结构化输出、代码按冻结官方split和scorer执行；长上下文执行固定形状。A2-V对文本模型只作模态适用性检查。B0/B1均启用相同FULL_DECODE_ONLY配置。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2E9AAB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通用问答/多轮和工具调用：B1-BF16/B0-BF16最大合规吞吐≥2倍；共同负载平均TTFT和平均TPOT均改善≥20%；其余单元按质量、错误和容量边界判定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0189A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逐请求记录、容量曲线、SLO合规吞吐、质量判定、错误记录和B0/B1对照结果</w:t>
            </w:r>
          </w:p>
        </w:tc>
      </w:tr>
      <w:tr w14:paraId="0D26AF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DE20D1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A3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1E9107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32K长上下文稳定性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BC5328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 BF16；授权长文本data_profile_id；总上下文32768=输入30720+输出2048；并发1；闭环；预热5分钟、测量30分钟；6个5分钟窗口；最多64请求且至少完成24；重复3次；有效测量区间与SLO约束见表4-2b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F62D0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0失败；无OOM、死锁、退出或静默截断；窗口吞吐CV≤5%；各窗口TTFT/TPOT中位数相对首个稳定窗口漂移≤10%，p99漂移≤20%；测量区间内TTFT/TPOT的mean/p95/p99均满足A3绝对SLO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676E83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LONG-PUBLIC请求清单、输入/输出token回执、窗口统计、HBM/KV监控、服务与请求日志</w:t>
            </w:r>
          </w:p>
        </w:tc>
      </w:tr>
      <w:tr w14:paraId="29121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B06C98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A4</w:t>
            </w:r>
          </w:p>
        </w:tc>
        <w:tc>
          <w:tcPr>
            <w:tcW w:w="13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F5DF5E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成本与多租户利用率</w:t>
            </w:r>
          </w:p>
        </w:tc>
        <w:tc>
          <w:tcPr>
            <w:tcW w:w="22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D93F03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 BF16；通用问答/多轮、工具/Agent、推理、结构化输出、代码五类冻结请求按投递输出token各20%；固定点扫描B0容量后在70%共同负载对照；泊松到达、每租户并发4、全局16；预热5分钟、测量30分钟；有效测量区间与SLO约束见表4-2b</w:t>
            </w:r>
          </w:p>
        </w:tc>
        <w:tc>
          <w:tcPr>
            <w:tcW w:w="226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24B06E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B1-BF16单位token成本较B0-BF16降低≥30%；Jain≥0.90；份额偏差≤10%；p99≤隔离B0 1.25×；样本&lt;1000时0失败；两卡平均利用率≥60%；各租户在测量区间内满足逐租户绝对SLO</w:t>
            </w:r>
          </w:p>
        </w:tc>
        <w:tc>
          <w:tcPr>
            <w:tcW w:w="484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617E30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全生命周期成本、成功token、租户SLO/份额、设备利用率、同周期价格</w:t>
            </w:r>
          </w:p>
        </w:tc>
      </w:tr>
    </w:tbl>
    <w:p w14:paraId="62D291F5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A1—A4执行合同见表4-2。A1使用BF16（双卡合计算量折算为单芯片均值），910B2 BF16峰值分母在独占设备上执行3次测量并取中位数，effective_compute_spec与msprof误差不超过3%。A2—A4必须执行B0-BF16和B1-BF16；通用问答/多轮和工具调用按B1-BF16相对B0-BF16判定最大合规吞吐不低于2倍、共同负载平均TTFT和平均TPOT均改善20%以上。A3独立承担32K稳定性验收，总上下文固定为32768 token，其中输入30720 token、输出2048 token。A4按同一BF16比较完成成本、公平性、利用率和尾延迟判定。W8A8扩展在工件齐全且通过质量门禁后另行形成结果，不替代BF16必测线。每个正式阶段至少执行3次独立生命周期，按预声明主指标中位数判定，完整保留失败、超时和追加复测。</w:t>
      </w:r>
    </w:p>
    <w:p w14:paraId="268BCCF2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A3与A4必须在有效测量区间内、并在SLO约束下判定。下表统一两项测试的区间定义和SLO口径。A3固定采用TTFT mean≤30 s、p95≤45 s、p99≤60 s以及TPOT mean≤40 ms、p95≤60 ms、p99≤80 ms的绝对SLO；B0-BF16资格化得到的30720-token Prefill吞吐仅作为诊断证据，不参与阈值计算或判定。A4采用表中固定绝对SLO。两项均不得在正式测量期间根据B0或B1结果调整。</w:t>
      </w:r>
    </w:p>
    <w:p w14:paraId="06F4A77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表4-2b A3/A4有效测量区间与SLO约束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4450"/>
        <w:gridCol w:w="2500"/>
      </w:tblGrid>
      <w:tr w14:paraId="729CD9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71B89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D097BB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A3 32K长上下文稳定性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BA2C42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A4 成本与多租户利用率</w:t>
            </w:r>
          </w:p>
        </w:tc>
      </w:tr>
      <w:tr w14:paraId="6196E9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92DF6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有效测量区间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25947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服务冷启动→health→连通性检查（commissioning，不计）→预热5分钟（不计）→测量30分钟→停止。测量区间=预热结束后首个正式请求发送时刻起连续1800 s（单调时钟），划分W1—W6六个5分钟窗口；请求按完成时刻归属窗口；预热、排空、冷却数据只用于诊断，不进入统计与判定。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00C67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时间轴与A3相同：预热5分钟（不计）+连续30分钟测量区间。B0容量扫描（每点600 s、点间排空60 s）只用于确定70%共同负载，不进入A4统计；正式对照仅取测量区间内数据。</w:t>
            </w:r>
          </w:p>
        </w:tc>
      </w:tr>
      <w:tr w14:paraId="6C039C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4B3DC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区间有效性判据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DA280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每窗口完成请求≥3；全区间完成请求≥24且总请求≤64；监控采样缺点率≤0.1%；区间内无服务重启、新增图捕获或图回退。任一不满足→该生命周期无效，完整重跑。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865E2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区间内无服务重启、新增图捕获或图回退；监控采样缺点率≤0.1%；到达序列send lag p99≤1 s，且最后一个5分钟窗口的在飞请求数不超过全局并发上限16（排除持续积压）。任一不满足→该生命周期无效，完整重跑。</w:t>
            </w:r>
          </w:p>
        </w:tc>
      </w:tr>
      <w:tr w14:paraId="07A8B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4827C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参照基准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47B1A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漂移基准固定为W1（预热已排除冷启动），不得事后选择参照窗口；CV、漂移按表附-18计算。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C564C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正式负载=0.70×B0三次容量扫描中位最大SLO合规速率；隔离B0参照按相同测量区间长度运行，证据随包保存。</w:t>
            </w:r>
          </w:p>
        </w:tc>
      </w:tr>
      <w:tr w14:paraId="51051F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B8844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SLO约束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06A25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固定绝对SLO：TTFT mean≤30 s、p95≤45 s、p99≤60 s；TPOT mean≤40 ms、p95≤60 ms、p99≤80 ms。B0-BF16资格化的30720-token Prefill吞吐必须保存为诊断证据，但不得参与阈值计算、放宽SLO或改变判定口径。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F8F98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逐租户沿用表附-8的A2绝对SLO：TTFT mean≤1000 ms、p95≤2000 ms、p99≤4000 ms；TPOT mean≤40 ms、p95≤60 ms、p99≤80 ms；五租户分别判定，不以全局平均替代。</w:t>
            </w:r>
          </w:p>
        </w:tc>
      </w:tr>
      <w:tr w14:paraId="00C48D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334E1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SLO判定方式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19FCC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整个测量区间及每个5分钟窗口的TTFT/TPOT均不得超过SLO；SLO违规请求不得剔除。请求数不足100时，p99按nearest-rank等于区间最大值，即要求全部请求达标；稳定性门槛（CV、漂移）与SLO须同时满足。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78C44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各租户区间内同时满足质量、协议与全部SLO的请求占比≥99%；不达标请求的输出token不计入成本分母；同时满足p99≤隔离B0 1.25×。</w:t>
            </w:r>
          </w:p>
        </w:tc>
      </w:tr>
      <w:tr w14:paraId="0B397C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10E87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与结论的关系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F855D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SLO不满足即A3不通过，不得以吞吐稳定性抵消。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8AB89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成本仅在SLO约束满足的负载点上计算；B0在70%点SLO不合规则该容量点作废、重做容量扫描；无SLO合规点→A4不具备判定条件。</w:t>
            </w:r>
          </w:p>
        </w:tc>
      </w:tr>
    </w:tbl>
    <w:p w14:paraId="3DA7D973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A2、A3、A4的SLO取值参照业界公开做法：以TTFT、TPOT两个请求级指标加分位数约束，并以“同时达标请求的吞吐（goodput）”比较容量。目前未检索到国家或行业层面的强制性大模型推理延迟标准，下表仅列公开基准规则与论文设定，均为参照而非验收依据；MLPerf与DistServe数值已据公开页面核对，标注“待核对”的条目须由第三方对照原始出处后方可引用。</w:t>
      </w:r>
    </w:p>
    <w:p w14:paraId="0BF7A868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表4-2c SLO取值依据与业界参照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9"/>
        <w:gridCol w:w="4190"/>
        <w:gridCol w:w="2371"/>
      </w:tblGrid>
      <w:tr w14:paraId="12DC36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A668B5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参照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C94B80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典型取值（参考）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9B5E6E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在本方案中的使用</w:t>
            </w:r>
          </w:p>
        </w:tc>
      </w:tr>
      <w:tr w14:paraId="44CF81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0A4C2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MLPerf Inference（MLCommons，TTFT/TPOT为p99）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E19EE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Llama2-70B Server：TTFT≤2 s、TPOT≤200 ms；Interactive：TTFT≤450 ms、TPOT≤40 ms。Llama3.1-405B Server：TTFT≤6 s、TPOT≤175 ms；Interactive：TTFT≤4.5 s、12.5 tokens/s/用户。Llama3.1-8B Interactive：TTFT≤500 ms、TPOT≤30 ms。DeepSeek-R1：TTFT 2000 ms、TPOT 80 ms（仅见二手汇总，待对照MLPerf规则仓库核对）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21D8B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A2/A4的TPOT 40/60/80 ms与Interactive档相当；TTFT 1/2/4 s介于Interactive与Server档之间；模型越大参照档越宽松，35B参照时按规模放宽并在配置表记录依据</w:t>
            </w:r>
          </w:p>
        </w:tc>
      </w:tr>
      <w:tr w14:paraId="3AC05D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E8DCC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DistServe（OSDI'24）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9E634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聊天：OPT-13B TTFT 0.25 s/TPOT 0.1 s，OPT-66B 2.5 s/0.15 s，OPT-175B 4.0 s/0.2 s；代码补全OPT-66B：TTFT 0.125 s、TPOT 0.2 s（arXiv v2与正式版的OPT-13B TTFT不一致：0.2 s与0.25 s，以正式版为准）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F0429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说明不同负载、不同模型规模的SLO应分档；A2各单元若采用同一套SLO，须在配置表记录依据</w:t>
            </w:r>
          </w:p>
        </w:tc>
      </w:tr>
      <w:tr w14:paraId="5B5853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DE761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goodput与达标率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B9F2D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DistServe以满足SLO的最大请求速率定义goodput，主结果达标率取90%，附录C给出99%结果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1341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A4取≥99%；A3样本少于100时要求全部请求达标</w:t>
            </w:r>
          </w:p>
        </w:tc>
      </w:tr>
      <w:tr w14:paraId="5CE97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9FA57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长上下文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1C299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未检索到30K级输入TTFT的公开标准；MLPerf 405B长输入场景TTFT≤6 s（Server）仅供量级参考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6D061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A3固定采用30/45/60 s的TTFT绝对SLO；B0 Prefill吞吐仅作诊断与容量分析，不参与验收阈值计算</w:t>
            </w:r>
          </w:p>
        </w:tc>
      </w:tr>
    </w:tbl>
    <w:p w14:paraId="0649B0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spacing w:line="560" w:lineRule="exact"/>
        <w:jc w:val="both"/>
        <w:rPr>
          <w:rFonts w:hint="eastAsia" w:ascii="仿宋_GB2312" w:hAnsi="仿宋_GB2312" w:eastAsia="仿宋_GB2312" w:cs="仿宋_GB2312"/>
          <w:kern w:val="0"/>
          <w:sz w:val="28"/>
          <w:szCs w:val="28"/>
          <w:lang w:val="en-US" w:eastAsia="zh-CN" w:bidi="ar"/>
        </w:rPr>
        <w:sectPr>
          <w:pgSz w:w="16838" w:h="11906" w:orient="landscape"/>
          <w:pgMar w:top="1800" w:right="1440" w:bottom="1800" w:left="1440" w:header="851" w:footer="992" w:gutter="0"/>
          <w:pgNumType w:fmt="decimal"/>
          <w:cols w:space="425" w:num="1"/>
          <w:docGrid w:type="lines" w:linePitch="312" w:charSpace="0"/>
        </w:sectPr>
      </w:pPr>
    </w:p>
    <w:p w14:paraId="69F108D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8" w:name="_Toc21112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4.2 必须交付：结果有效性检查</w:t>
      </w:r>
      <w:bookmarkEnd w:id="18"/>
    </w:p>
    <w:p w14:paraId="5EEC7492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表4-3 正式结果有效性检查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1"/>
        <w:gridCol w:w="2559"/>
        <w:gridCol w:w="2637"/>
        <w:gridCol w:w="1773"/>
      </w:tblGrid>
      <w:tr w14:paraId="33BFD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40F0C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检查项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623080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检查内容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EB8467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通过要求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433E75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不通过处理</w:t>
            </w:r>
          </w:p>
        </w:tc>
      </w:tr>
      <w:tr w14:paraId="11BFA6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7DFDF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协议与接口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84012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聊天与多轮协议、OpenAI兼容的结构化输出协议、真实工具定义及自动工具选择协议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C557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字段完整；无协议降级；工具名称与参数能够按冻结判定规则核验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8519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修复后完整重跑受影响测试单元</w:t>
            </w:r>
          </w:p>
        </w:tc>
      </w:tr>
      <w:tr w14:paraId="1A6FEB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5660A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质量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C7379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推理答案、Schema合法性、工具名称和参数、代码编译/单测、长文本输出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AB9F6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推理、结构化输出、工具调用、代码和长文本的B1质量较B0下降不超过1个百分点；Schema合法率100%；结构化输出和工具调用任务成功率不低于95%；代码按冻结官方scorer判定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0EFF9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对应测试单元不通过，不得以性能结果抵消</w:t>
            </w:r>
          </w:p>
        </w:tc>
      </w:tr>
      <w:tr w14:paraId="124F0F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A1DF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量化工件质量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4D24E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W8A8扩展工件相对同源B1-BF16的推理、Schema、工具和长文本质量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8CF83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推理、工具、结构化和长文本任务成功率下降均不超过1个百分点；Schema合法率100%；工具和结构化任务成功率不低于95%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1B81C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不合格工件不得进入W8A8扩展；BF16必测线照常执行并形成结论</w:t>
            </w:r>
          </w:p>
        </w:tc>
      </w:tr>
      <w:tr w14:paraId="44A95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11A72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优化机制生效性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45F88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前缀缓存、分块预填充、B0/B1图执行和可选W8A8量化加载；额外交付另核验各自profile启用的MTP/推测解码及平台专用机制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5C34F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启动回执与运行指标证明表附-3规定的机制实际生效；两侧保存图捕获尺寸、捕获次数、命中次数、回退次数和编译耗时；缓存单元保存查询、命中和逐请求前缀身份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691DC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机制未生效或指标缺失时对应单元无效，修复后从第一轮完整重跑</w:t>
            </w:r>
          </w:p>
        </w:tc>
      </w:tr>
      <w:tr w14:paraId="03575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85D7C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运行正确性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E07BE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全部成功、失败、超时、取消、重试和静默截断请求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370D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错误率不超过0.1%；样本不足1000时要求0失败；无数据损坏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93543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保留失败记录并完整复测</w:t>
            </w:r>
          </w:p>
        </w:tc>
      </w:tr>
      <w:tr w14:paraId="57C71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E7389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启动参数一致性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B6D95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逐项比较B0、B1原始命令/YAML、规范化配置、环境变量、客户端合同和实际生效值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8E7A4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B0-BF16与B1-BF16除代码、镜像和角色标识外全部性能字段一致；W8A8扩展只允许固定工件、服务名和quantization变化；所有其他字段一致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7AD36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任一参数不一致、隐式默认、字段缺失、图未捕获或生效值不符时不得测量；修订后完整重跑</w:t>
            </w:r>
          </w:p>
        </w:tc>
      </w:tr>
      <w:tr w14:paraId="431FAE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B8859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因果与规格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9ACFC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同一比较使用相同硬件、模型精度、数据、请求、到达序列、SLO和共同最佳支持图配置；不得人为关闭任一侧正式支持的优化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978B9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精确版本、镜像、模型/量化工件、数据、请求合同和共同配置可追溯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CB75A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缺失或冲突时不得形成验收结论；定位运行属于验收外工程活动，不得进入验收证据</w:t>
            </w:r>
          </w:p>
        </w:tc>
      </w:tr>
      <w:tr w14:paraId="76D9EB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2CEB2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测量区间与SLO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38990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A3/A4的有效测量区间、窗口划分、区间有效性判据和绝对SLO</w:t>
            </w:r>
          </w:p>
        </w:tc>
        <w:tc>
          <w:tcPr>
            <w:tcW w:w="300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63299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与表4-2b逐项一致；区间外数据未进入统计；SLO违规请求未被剔除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73B16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该生命周期无效，修复后完整重跑；SLO或区间定义缺失时A3/A4记为不具备判定条件</w:t>
            </w:r>
          </w:p>
        </w:tc>
      </w:tr>
    </w:tbl>
    <w:p w14:paraId="2E8281F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19" w:name="_Toc4628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4.3 额外交付：其他平台（端侧）与400B级大模型优化</w:t>
      </w:r>
      <w:bookmarkEnd w:id="19"/>
    </w:p>
    <w:p w14:paraId="5FC19CED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额外交付包含E1和E2两项，均不属于任务书A1—A4，结论只用于能力边界和亮点说明。E1为Qwen3.5-35B在其他平台（端侧推理）上的优化；E2为约400B级大模型优化，以GLM 5.3 Flash和DeepSeek V4.1 Flash为主。每个平台、每个模型、每种拓扑独立冻结配置并独立出具结论，禁止跨平台、跨模型规模、跨部署拓扑排名（见4.6.9）。Qwen3.5-35B必须交付的工具调用等结论不得由额外交付结果替代。PD、EP、KV或压缩亮点均须提供开关对照、机制生效记录、时间线和原始结果。本版E1、E2-G和E2-D统一冻结为active=false、NOT_EXECUTED_OPTIONAL，不注册正式target，不生成正式config_id，不开放正式测量队列；后续启用必须发布新版本并逐平台、逐模型、逐拓扑完整冻结执行合同。</w:t>
      </w:r>
    </w:p>
    <w:p w14:paraId="21AE1E05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表4-4 核心技术路线核验要求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5"/>
        <w:gridCol w:w="1616"/>
        <w:gridCol w:w="2148"/>
        <w:gridCol w:w="2352"/>
        <w:gridCol w:w="1735"/>
      </w:tblGrid>
      <w:tr w14:paraId="214E2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225E6C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A5834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额外交付项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FA5E1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对照配置</w:t>
            </w:r>
          </w:p>
        </w:tc>
        <w:tc>
          <w:tcPr>
            <w:tcW w:w="2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106C02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完成要求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964BE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主要证据</w:t>
            </w:r>
          </w:p>
        </w:tc>
      </w:tr>
      <w:tr w14:paraId="352B1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47449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E1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22ADC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Qwen3.5-35B其他平台（端侧推理）优化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E5462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active=false；以下合同仅作为后续版本启用时的最低冻结要求。逐平台独立冻结：平台/设备型号、运行时与推理引擎、量化格式、上下文长度、负载子集、SLO；B0=该平台当前基线，B1=优化版本，同设备同精度同负载</w:t>
            </w:r>
          </w:p>
        </w:tc>
        <w:tc>
          <w:tcPr>
            <w:tcW w:w="2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A10648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本版结论为NOT_EXECUTED_OPTIONAL；不得形成性能、质量或完成性结论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D97EA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设备与运行时回执、量化工件哈希、原始请求、功耗温度记录、B0/B1对照结果</w:t>
            </w:r>
          </w:p>
        </w:tc>
      </w:tr>
      <w:tr w14:paraId="08FE2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6FCD6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E2-G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555E4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GLM 5.3 Flash优化（约400B级）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DCD30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本版active=false；以下合同仅作为后续版本启用时的最低冻结要求。固定多卡/多机拓扑；通用问答/多轮、工具调用、长上下文、代码等可执行负载；B0/B1同拓扑同精度</w:t>
            </w:r>
          </w:p>
        </w:tc>
        <w:tc>
          <w:tcPr>
            <w:tcW w:w="2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E2B295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本版结论为NOT_EXECUTED_OPTIONAL；不得形成性能、质量或完成性结论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DBBCA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容量清单、启动生效回执、逐请求记录、质量判定、B0/B1对照</w:t>
            </w:r>
          </w:p>
        </w:tc>
      </w:tr>
      <w:tr w14:paraId="378A1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6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BB888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E2-D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3EF17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 V4.1 Flash优化（约400B级）</w:t>
            </w:r>
          </w:p>
        </w:tc>
        <w:tc>
          <w:tcPr>
            <w:tcW w:w="255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50DD0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本版active=false；以下合同仅作为后续版本启用时的最低冻结要求。固定单机8卡或多机拓扑；高KV复用（缓存开/关对照）；标准代码服务；可执行通用负载</w:t>
            </w:r>
          </w:p>
        </w:tc>
        <w:tc>
          <w:tcPr>
            <w:tcW w:w="266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AF9B11">
            <w:pPr>
              <w:keepNext w:val="0"/>
              <w:spacing w:before="0" w:after="0" w:line="320" w:lineRule="exact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本版结论为NOT_EXECUTED_OPTIONAL；不得形成性能、质量或完成性结论</w:t>
            </w:r>
          </w:p>
        </w:tc>
        <w:tc>
          <w:tcPr>
            <w:tcW w:w="204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F8B1E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命中/驱逐日志、KV占用、时间线、代码判定、B0/B1对照</w:t>
            </w:r>
          </w:p>
        </w:tc>
      </w:tr>
    </w:tbl>
    <w:p w14:paraId="6AC7ED01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E2模型涉及的核心机制按下表核验，仅在对应模型、对应拓扑内形成结论：</w:t>
      </w:r>
    </w:p>
    <w:p w14:paraId="5FF7C3F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表4-4a E2核心机制核验要求</w:t>
      </w:r>
    </w:p>
    <w:tbl>
      <w:tblPr>
        <w:tblStyle w:val="17"/>
        <w:tblW w:w="15394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440"/>
        <w:gridCol w:w="2016"/>
        <w:gridCol w:w="2376"/>
        <w:gridCol w:w="1800"/>
      </w:tblGrid>
      <w:tr w14:paraId="607F2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04F51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B4994D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核心机制</w:t>
            </w:r>
          </w:p>
        </w:tc>
        <w:tc>
          <w:tcPr>
            <w:tcW w:w="20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143397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对照配置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067D5D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通过要求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64C8A8">
            <w:pPr>
              <w:keepNext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主要证据</w:t>
            </w:r>
          </w:p>
        </w:tc>
      </w:tr>
      <w:tr w14:paraId="2F4F2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D49A0E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M1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AFADAE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PD分离</w:t>
            </w:r>
          </w:p>
        </w:tc>
        <w:tc>
          <w:tcPr>
            <w:tcW w:w="20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B1D043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同模型/硬件/精度/负载下关闭与开启；分别覆盖Prefill/Decode主导流量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7CFB25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质量和错误率合格；同SLO goodput或目标时延有可重复收益；不得只证明可启动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280833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阶段队列、P/D吞吐、路由与KV传输、时间线、请求级结果</w:t>
            </w:r>
          </w:p>
        </w:tc>
      </w:tr>
      <w:tr w14:paraId="0F49DC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8744F4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M2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9886AA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KV池化、分层与复用</w:t>
            </w:r>
          </w:p>
        </w:tc>
        <w:tc>
          <w:tcPr>
            <w:tcW w:w="20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0E7345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冻结共享前缀、会话复用、hit/miss比例；命中/未命中分开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4514D3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命中路径TTFT或Prefill计算时间下降≥20%；未命中路径关键时延回退≤5%；无串扰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BBA49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命中/驱逐/迁移日志、KV占用、正确性判定规则、时间线</w:t>
            </w:r>
          </w:p>
        </w:tc>
      </w:tr>
      <w:tr w14:paraId="7704A2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</w:trPr>
        <w:tc>
          <w:tcPr>
            <w:tcW w:w="5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5C926E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M3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6FAE53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进一步压缩与调度协同</w:t>
            </w:r>
          </w:p>
        </w:tc>
        <w:tc>
          <w:tcPr>
            <w:tcW w:w="201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1B49E4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在W8A8扩展之外，额外比较W4A8、KV FP8或其他压缩方案；每种方案使用独立工件和独立profile，不替换BF16必须交付结果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CB0CB9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质量合格，且每token显存下降≥20%或全系统单位token成本下降≥15%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CCA56">
            <w:pPr>
              <w:keepNext w:val="0"/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工件哈希、精度/格式、质量、显存、吞吐/时延和成本</w:t>
            </w:r>
          </w:p>
        </w:tc>
      </w:tr>
    </w:tbl>
    <w:p w14:paraId="4734986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0" w:name="_Toc7980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4.4 A1—A4指标与数据资产矩阵</w:t>
      </w:r>
      <w:bookmarkEnd w:id="20"/>
    </w:p>
    <w:p w14:paraId="47C68426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A1—A4数据集与指标对象冻结在vLLM-HUST/dev-hub数据集注册表中。既有44项已登记数据集及派欧轨迹继续按注册资产执行；浦江指定五项数据集已于2026年10月9日完成官方源快照冻结和容器侧逐文件SHA-256校验，但尚未完成正式registry登记、scorer与运行环境资格化，不因源文件已下载而自动转为EXECUTABLE。源快照、许可、任务manifest、scorer、执行镜像、B0/B1统一合同和实际生效回执全部闭合后方可纳入正式执行。a1-a4-metric-dataset-matrix.csv仍冻结19项核心指标与10项附加指标。每个数据集只登记适用指标，不适用者填N/A并说明原因；可用资产未授权、oracle、模态或资格字段缺失时，数据集状态及对应结论仍为CANNOT_DETERMINE，不得按0分处理。表4-5a给出浦江五项源快照冻结后的当前状态；正式注册表A1_A4_scope、资产字段与配置须覆盖指标适用性。各数据集分别出具边界、质量和加权平均负载。浦江指定范围与REQUIRED/SUPPLEMENTARY执行档位为两个独立维度，均在B0/B1比较前冻结。</w:t>
      </w:r>
    </w:p>
    <w:p w14:paraId="25C88783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表4-5 A1—A4指标配置与数据集组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4"/>
        <w:gridCol w:w="1532"/>
        <w:gridCol w:w="1902"/>
        <w:gridCol w:w="2957"/>
        <w:gridCol w:w="1501"/>
      </w:tblGrid>
      <w:tr w14:paraId="0C5976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03810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指标配置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7A04F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数据集组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1C871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冻结数据资产系列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783D2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档位与适用性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CEBDE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执行规则</w:t>
            </w:r>
          </w:p>
        </w:tc>
      </w:tr>
      <w:tr w14:paraId="264AC8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26F63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A1固定形状与基础服务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C1604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A1-COMPUTE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97164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tokenizer-exact synthetic、vLLM random、sonnet、random-latency、logprobs、spec-decode；PAIO-LONG-PREFILL与PAIO-PREFIX-SHARED按规定作补充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3F5CB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固定形状与基础路径为REQUIRED；两项派欧机制运行按表4-7分档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D4C30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4096×8为唯一MFU主形状；各生成器、种子和请求manifest冻结；不得用自然语料替换固定token形状</w:t>
            </w:r>
          </w:p>
        </w:tc>
      </w:tr>
      <w:tr w14:paraId="333B3E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05169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A2-D通用问答/多轮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41783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DIALOGUE-GROUP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AD1D5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ShareGPT V3、UltraChat 200K、OASST1、LMSYS-Chat-1M、WildChat、WildChat-4.8M、PAIO-CHAT、PAIO-REUSE-CONV；PAIO-SEMANTIC-SIMILAR单列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4B39C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适用且资产齐全的REQUIRED数据分别执行；语义相似项为SUPPLEMENTARY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F4FA8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保留完整官方split和会话边界；LMSYS未授权时保留AUTH_REQUIRED；不得把单轮数据冒充多轮</w:t>
            </w:r>
          </w:p>
        </w:tc>
      </w:tr>
      <w:tr w14:paraId="53E7D5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D7608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A2-T工具/Agent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9DD41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TOOL-GROUP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DF063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BFCL v3、BFCL v4、tau2-bench、ToolBench、EvoScientist、SyFi、HotpotQA/ReAct、agent-cache-pressure、SWE-bench-Pro、TerminalBench 2.1；OpenCode/SWE-bench轨迹与swe-prefix-reuse单列扩展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FD9CB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浦江指定两项及适用REQUIRED数据分别执行；生产优化扩展不替代BFCL/tau2；swe-prefix-reuse为SUPPLEMENTARY，不计硬门槛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719ED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SWE-bench-Pro使用冻结release、task IDs、fresh-sandbox镜像、agent scaffold、工具策略、预算和regrader；TerminalBench 2.1使用冻结2.1 release、Harbor镜像、任务manifest、agent scaffold、工具策略、预算和scorer；不得用近似数据集替代</w:t>
            </w:r>
          </w:p>
        </w:tc>
      </w:tr>
      <w:tr w14:paraId="1E7280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F78F0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A2-R推理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38055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REASON-GROUP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30F0B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MMLU-Pro、HLE-Verified、FrontierScience、GSM8K main/socratic、MATH-500、GPQA、BBH、AI2 ARC、AIME 2024、HotpotQA、LongBench-v2；PAIO-CODE-EVAL作性能证据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901CE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浦江指定三项及有冻结oracle/scorer的适用数据为REQUIRED；资产未冻结时结论为CANNOT_DETERMINE；PAIO-CODE-EVAL缺gold时正确率N/A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B0F9F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完整冻结split分别执行；HLE-Verified不得改用其他HLE子集；FrontierScience按Olympiad与Research分赛道报告；答案抽取失败、空响应、超时均计失败</w:t>
            </w:r>
          </w:p>
        </w:tc>
      </w:tr>
      <w:tr w14:paraId="009420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D0DF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A2-S结构化输出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FD12E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STRUCT-GROUP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CBB3E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SchemaStore、JSONSchemaBench、StructEval、BFCL参数JSON、PAIO-JSON-500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C2CDB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适用且资格齐全者REQUIRED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59A82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逐schema记录dialect与外部引用；Schema和任务成功率分别报告；PAIO-JSON不含tools</w:t>
            </w:r>
          </w:p>
        </w:tc>
      </w:tr>
      <w:tr w14:paraId="0A6E18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A919A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A2-C代码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49B4B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CODE-GROUP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A5E93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SWE-bench-Pro、InstructCoder、LiveCodeBench三类split、HumanEval、MBPP、SyFi、PAIO-CODE-EVAL；OpenCode/SWE-bench轨迹单列扩展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F14AE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SWE-bench-Pro及官方代码数据为REQUIRED；PAIO-CODE扩展引用不重复物理文件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D2A0C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SWE-bench-Pro以fresh-sandbox resolved rate为质量主指标；其余使用冻结编译器、容器、测试用例与官方scorer；每个数据集分别报告质量、TTFT、TPOT和吞吐</w:t>
            </w:r>
          </w:p>
        </w:tc>
      </w:tr>
      <w:tr w14:paraId="3836A7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ACFC3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A2-V多模态适用性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54E7A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VISION-GROUP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46EBE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VisionArena-Chat冻结parquet及图像引用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D58DC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Qwen3.5-35B冻结工件未启用图像协议时为MODEL_MODALITY_NOT_APPLICABLE；工件支持图像协议且B0/B1协议一致时转为REQUIRED（于config_id生成前确定，不得事后改档）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AE065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不得转成纯文本冒充多模态；资产保留但不产生通过结果；具备相同图像协议的B0/B1模型方可执行</w:t>
            </w:r>
          </w:p>
        </w:tc>
      </w:tr>
      <w:tr w14:paraId="6A4492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D4106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A3长上下文/KV压力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85FDD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LONG-KV-GROUP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67B9F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LongBench、LongBench-v2、InfiniteBench、RULER、BFCL long、SyFi、OASST1、KV/prefix生成器、PAIO-LONGTEXT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56B7B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适用且资产齐全者REQUIRED；资格未完成者CANNOT_DETERMINE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D29FA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按4K/8K/16K/32K和A3固定30720+2048分别执行；超出模型上限记UNSUPPORTED，不静默截断</w:t>
            </w:r>
          </w:p>
        </w:tc>
      </w:tr>
      <w:tr w14:paraId="503DEB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</w:tcPr>
          <w:p w14:paraId="3F574B69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A4五租户混合</w:t>
            </w:r>
          </w:p>
        </w:tc>
        <w:tc>
          <w:tcPr>
            <w:tcW w:w="1553" w:type="dxa"/>
          </w:tcPr>
          <w:p w14:paraId="79EBCA0D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A4-TENANT-GROUP</w:t>
            </w:r>
          </w:p>
        </w:tc>
        <w:tc>
          <w:tcPr>
            <w:tcW w:w="971" w:type="dxa"/>
          </w:tcPr>
          <w:p w14:paraId="276772E4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引用A2的Dialogue、Tool/Agent、Reasoning、Structured、Code同一物理资产；浦江指定SWE-bench-Pro与TerminalBench 2.1归入Tool/Agent，MMLU-Pro、HLE-Verified与FrontierScience归入Reasoning；BurstGPT与SyFi提供到达/会话trace</w:t>
            </w:r>
          </w:p>
        </w:tc>
        <w:tc>
          <w:tcPr>
            <w:tcW w:w="1306" w:type="dxa"/>
          </w:tcPr>
          <w:p w14:paraId="4D30546B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五租户REQUIRED；浦江指定资产未冻结时对应单元为CANNOT_DETERMINE，不得换题；不适用的硬件或模型扩展明确记N/A</w:t>
            </w:r>
          </w:p>
        </w:tc>
        <w:tc>
          <w:tcPr>
            <w:tcW w:w="2347" w:type="dxa"/>
          </w:tcPr>
          <w:p w14:paraId="39DC4B0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不另建数据副本；每个dataset_id保留record/session/tenant标签；Agent类任务保留tool/patch/test轨迹；按投递输出token各20%，逐租户分别出具质量与性能</w:t>
            </w:r>
          </w:p>
        </w:tc>
      </w:tr>
    </w:tbl>
    <w:p w14:paraId="63B62759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企业数据集执行前应登记记录数、字段结构、数据授权、脱敏状态、适用主机、保留期限和SHA-256校验值。原始请求仅保存在授权环境；第三方报告使用脱敏样例、汇总指标和不可逆标识。静态JSONL不含真实到达时间时，统一采用表附-6规定的到达率、并发和vllm-hust-poisson-v1到达序列生成规则，不得将生成的到达过程表述为企业真实流量轨迹。synthetic/hybrid补充压力数据同时记录生成器版本、参数、种子、目标分布和校验值。</w:t>
      </w:r>
    </w:p>
    <w:p w14:paraId="26A2D3F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1" w:name="_Toc29458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4.4.1 浦江指定数据集与35B B0/B1执行范围</w:t>
      </w:r>
      <w:bookmarkEnd w:id="21"/>
    </w:p>
    <w:p w14:paraId="48596EF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浦江实验室指定数据集固定为MMLU-Pro、HLE-Verified、SWE-bench-Pro、FrontierScience和TerminalBench 2.1。不得以MMLU、SWE-bench Verified、旧版TerminalBench或其他名称相近的数据集替代。指定范围决定Qwen3.5-35B-A3B B0/B1计划必须优先补齐的对象；REQUIRED/SUPPLEMENTARY决定其在A1—A4指标合同中的执行档位，两个维度分别冻结、不能互相替代。</w:t>
      </w:r>
    </w:p>
    <w:p w14:paraId="6D92A55D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数据集名称确认不等于正式资产已经冻结。每项正式测试仍须记录不可变release或revision、split、任务ID、全量或抽样规则、逐任务manifest与SHA-256、scorer、执行镜像、许可证、运行依赖及实际可读取路径。仅有网页链接、下载说明、截图、历史服务吞吐或当前环境快照时，不得将状态标记为可执行。</w:t>
      </w:r>
    </w:p>
    <w:p w14:paraId="08C12942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表4-5a 浦江指定数据集冻结与执行状态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820"/>
        <w:gridCol w:w="1942"/>
        <w:gridCol w:w="3049"/>
        <w:gridCol w:w="1708"/>
      </w:tblGrid>
      <w:tr w14:paraId="78451B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EE26B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数据集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E84E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A2/A4归属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31EE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当前状态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1BF12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当前证据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35665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正式合同缺口</w:t>
            </w:r>
          </w:p>
        </w:tc>
      </w:tr>
      <w:tr w14:paraId="63744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0E9A7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MMLU-Pro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D31EE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A2-R；A4 Reasoning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507D8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SOURCE_SNAPSHOT_FROZEN；EXECUTION_UNQUALIFIED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6A9C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官方快照revision=b189ec765aa7ed75c8acfea42df31fdae71f97be，含validation/test parquet；位于统一容器路径，已纳入1135项SHA-256校验。许可标识MIT。历史35B B0工作簿仍仅为未绑定质量结果的服务遥测。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D68DD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冻结全量任务manifest、抽样规则、官方或冻结scorer、请求模板、执行镜像、server argv、client contract和实际生效回执；在同一合同下重跑B0/B1并出具任务准确率。</w:t>
            </w:r>
          </w:p>
        </w:tc>
      </w:tr>
      <w:tr w14:paraId="2A398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D0F15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HLE-Verified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E1AE6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A2-R；A4 Reasoning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F47F8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SOURCE_SNAPSHOT_FROZEN；LICENSE_REVIEW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78B25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官方快照revision=b705e0fb541c025a1532ce0d60d70ae2f53b00e0；Gold 668条、Revision 1143条、Uncertain 689条，共2500条；三项JSONL均与上游Git LFS对象SHA-256一致。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9AFA1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上游仓库未声明数据许可证；须冻结正式使用范围（Gold/Revision/Uncertain）、图像资产、任务manifest、答案抽取与judge/scorer、执行镜像、预算及B0/B1统一合同。</w:t>
            </w:r>
          </w:p>
        </w:tc>
      </w:tr>
      <w:tr w14:paraId="7A9D0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D1D6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SWE-bench-Pro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EDF8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A2-T/A2-C；A4 Tool/Agent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4AC49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SOURCE_SNAPSHOT_FROZEN；RUNTIME_UNQUALIFIED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313BF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官方快照revision=2d52cb3df914a3fcf80c7f66738b3a88ae37fc50，包含default、hard、v1三个test parquet快照，已完成逐文件SHA-256校验。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6A9C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数据集卡未声明许可证；须选择并冻结唯一config/release、task IDs、代码仓库与base commit、fresh-sandbox镜像RepoDigest、agent scaffold、工具策略、预算、regrader/scorer及B0/B1统一执行合同。</w:t>
            </w:r>
          </w:p>
        </w:tc>
      </w:tr>
      <w:tr w14:paraId="734990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1569D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FrontierScience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5BC3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A2-R；A4 Reasoning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1E71C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SOURCE_SNAPSHOT_FROZEN；SCORER_UNQUALIFIED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E5C6F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官方快照revision=25ed67db7da8f4591484e764008ff585544f5a30；Olympiad 100条、Research 60条；许可标识Apache-2.0，已完成逐文件SHA-256校验。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C39AC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冻结两赛道任务manifest、答案抽取与scorer/judge、请求模板、执行环境、预算、失败计分和B0/B1统一合同，并完成资格化运行。</w:t>
            </w:r>
          </w:p>
        </w:tc>
      </w:tr>
      <w:tr w14:paraId="325A64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7B822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TerminalBench 2.1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C0E58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A2-T；A4 Tool/Agent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286D4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SOURCE_SNAPSHOT_FROZEN；IMAGE_UNQUALIFIED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9739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官方任务快照revision=7131e4375048a0e408a8fb404b5f499d726b695b，共89个任务定义；仓库许可Apache-2.0，任务级第三方权利仍需核验。未预拉取约40GB运行镜像。</w:t>
            </w:r>
          </w:p>
        </w:tc>
        <w:tc>
          <w:tcPr>
            <w:tcW w:w="1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56825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冻结Harbor数据标识与任务manifest、逐任务镜像RepoDigest、agent scaffold、工具/网络/资源策略、预算、超时、重复次数和scorer；镜像资格化及任务级许可核验通过后方可执行。</w:t>
            </w:r>
          </w:p>
        </w:tc>
      </w:tr>
    </w:tbl>
    <w:p w14:paraId="698DC5E7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截至2026年10月9日，浦江指定五项官方源快照统一存放于180-profile容器绝对路径/root/vllm-hust-eval-data/pujiang-five。冻结revision分别为：MMLU-Pro b189ec765aa7ed75c8acfea42df31fdae71f97be；HLE-Verified b705e0fb541c025a1532ce0d60d70ae2f53b00e0；SWE-bench-Pro 2d52cb3df914a3fcf80c7f66738b3a88ae37fc50；FrontierScience 25ed67db7da8f4591484e764008ff585544f5a30；Terminal-Bench 2.1 7131e4375048a0e408a8fb404b5f499d726b695b。根清单MANIFEST.json的SHA-256为2666f482a6f6c974cde19b6549f72ee37df82a93c9dc032754005af3a839299b，逐文件清单SHA256SUMS的SHA-256为c02431d400b89146fd1b65dec8d505c40a981066ff8d4615eebe12ba0fa7effc；容器端共1135项校验全部通过，且未保留.git目录或数据分支。上述记录仅证明源快照身份和传输完整性；状态变为EXECUTABLE前，仍须完成表4-5a列明的许可、scorer、执行镜像、运行合同及资格化闭环。资产实际执行后，还须在证据包中记录该SHA-256、原资产路径和镜像内目标路径。任一浦江指定项未达到EXECUTABLE时，保留在必测清单并将对应结论记为CANNOT_DETERMINE，不得自动降档、换题或改用近似数据集。</w:t>
      </w:r>
    </w:p>
    <w:p w14:paraId="4746EBF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五项测试均使用Qwen3.5-35B-A3B。B0为同一冻结合同下的Native基线；B1指测试开始时冻结的vLLM-HUST最终交付推理引擎，不在方案中预先硬编码未来版本号。同一数据集的B0/B1必须使用相同任务manifest、scorer、agent scaffold、工具策略、预算、模型工件、硬件拓扑、服务参数和客户端参数，只允许角色身份对应的引擎代码、插件及OCI摘要不同。不得跨数据集、跨版本或跨配置借用B0。</w:t>
      </w:r>
    </w:p>
    <w:p w14:paraId="7011A8AD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质量为五项主指标：MMLU-Pro准确率、冻结HLE-Verified scorer成绩、SWE-bench-Pro fresh-sandbox resolved rate、FrontierScience的Olympiad与Research分赛道成绩、TerminalBench 2.1 Harbor task resolution。吞吐、TTFT、TPOT、P90和资源占用为辅助遥测，不得以性能提升替代质量门禁。每个性能MOD须逐项标记applicable、not-exercised或blocked；只有实际执行控制路径的applicable项可以声明优化。</w:t>
      </w:r>
    </w:p>
    <w:p w14:paraId="15320A65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每个“数据集×B0/B1×MOD×重复”结果包至少包含冻结合同、服务端和客户端命令、环境及容器镜像、原始请求/响应、逐任务scorer输出、失败分类、token时间、服务日志、设备状态、资源释放证据和SHA256SUMS。Agent类任务另须保留完整tool、patch、test轨迹和fresh-sandbox复判记录。正收益、零收益、负收益、失败和不适用均如实报告。</w:t>
      </w:r>
    </w:p>
    <w:p w14:paraId="566BB09C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历史35B B0结果与浦江指定范围分开管理。现有工作簿中MMLU-Pro等条目只有服务吞吐/时延遥测，未提供同一运行内的质量结果，也未与本次冻结revision、任务manifest、服务端命令、客户端合同、生效回执和证据包绑定，不能据此推定正式B0已经覆盖。2026年10月9日完成的五项官方源快照冻结仅补齐数据源身份与传输完整性，不追溯改变历史工作簿的证据效力。浦江五项仍须在同一冻结合同下分别执行B0与B1，结果不得由旧遥测、近似数据集或非同批运行替代。派欧A1—A4生产资产和公共工程健康负载继续分开管理；前者作为优化需求来源，后者仅作兼容性证据，不得替代项目验收结果。</w:t>
      </w:r>
    </w:p>
    <w:p w14:paraId="2A9D4C3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2" w:name="_Toc10496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4.4.2 必须交付的补充负载：SWE长会话前缀复用</w:t>
      </w:r>
      <w:bookmarkEnd w:id="22"/>
    </w:p>
    <w:p w14:paraId="1E6C48EA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Qwen3.5-35B双卡在必须交付中增设一项补充负载：swe-prefix-reuse（vLLM-HUST/swe-prefix-reuse，Apache-2.0；数据取自NVIDIA Open-SWE-Traces，CC-BY-4.0，使用时须署名）。它以Open-SWE真实Agent轨迹的原始输入增量和固定每轮输出token数为形状，让模型自由生成并把实际生成的token ID拼回上下文，以C条闭环通道测量会话内真实前缀复用；每个会话使用独立cache_salt，刻意排除跨会话公共前缀。该负载不测SWE任务准确率，也不是真实在线Agent执行。</w:t>
      </w:r>
    </w:p>
    <w:p w14:paraId="525B48D7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该负载属于SUPPLEMENTARY补充项，不计任何硬门槛，不进入A1—A4通过/不通过判定、跨场景几何平均和成本核算，结果单列成节。它使用独立profile启动（表附-3的A2-SWE-PREFIX-&lt;PRECISION&gt;-PC），不与A2六个执行单元共用服务进程，也不改变表附-2至表附-7已冻结的A2—A4参数。</w:t>
      </w:r>
    </w:p>
    <w:p w14:paraId="1B09B829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表4-5b swe-prefix-reuse补充负载执行要求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4424"/>
        <w:gridCol w:w="2544"/>
      </w:tblGrid>
      <w:tr w14:paraId="11715F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10B8C9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AD28F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固定要求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91A20B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判定/留存</w:t>
            </w:r>
          </w:p>
        </w:tc>
      </w:tr>
      <w:tr w14:paraId="6534A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83764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工作负载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E0FC0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prepared文件由本方案冻结的Qwen3.5-35B分词器和聊天模板生成；轨迹池由init_trajectory_pool.py按整条轨迹筛选，不截断、不补齐、不循环；池规模【启用前按变更控制固化，建议≥512条】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8EADB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prepared文件SHA-256、分词器指纹、接收与拒绝清单；B0/B1必须使用同一文件</w:t>
            </w:r>
          </w:p>
        </w:tc>
      </w:tr>
      <w:tr w14:paraId="510C03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04840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接口与协议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B861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/v1/completions整数token提示；流式token_ids（return_token_ids=true）、prompt ID回显、final usage、ignore_eos=true、cache_salt；temperature=0、固定seed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16ED1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服务端须先通过协议核验；B0（vLLM 0.18）不满足时该补充项记CANNOT_DETERMINE，不以B1单侧结果宣称收益</w:t>
            </w:r>
          </w:p>
        </w:tc>
      </w:tr>
      <w:tr w14:paraId="01841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FB871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服务配置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4291E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独立profile：TP=2、prefix=true、chunked=true、speculative=false、共同图配置；max_model_len须不小于prepared最大上下文，并通过4.5.4容量门禁；B0/B1除代码、镜像、角色标识外一致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CEA43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startup receipt、图捕获/命中/回退、prefix_cache_queries/hits；容量不足则该项记未执行</w:t>
            </w:r>
          </w:p>
        </w:tc>
      </w:tr>
      <w:tr w14:paraId="54E7E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897C5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负载与时长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B8EF1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闭环并发C固定点【启用前按变更控制固化，如4、8】；--chips=2；无预热、冷启动计时，每点时长【启用前按变更控制固化】；达到固定时长后停止发新请求并排空；每点3个独立生命周期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C2B85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工具原生有效性valid=true；表4-2b的预热与测量区间不适用于本补充项</w:t>
            </w:r>
          </w:p>
        </w:tc>
      </w:tr>
      <w:tr w14:paraId="7F7A79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DD416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指标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6FEA5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工具原生：output tokens/s/chip、decode speed P90、TTFT P95；另由requests.jsonl离线计算TTFT/TPOT的mean/p95/p99（nearest-rank），仅作报告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99FDC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离线换算脚本冻结revision与SHA-256；不设绝对SLO门槛；不与其他平台、模型、拓扑比较</w:t>
            </w:r>
          </w:p>
        </w:tc>
      </w:tr>
      <w:tr w14:paraId="589E9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6FE4F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有效性与覆盖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96D14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须报告max_prompt_tokens_observed、轮次覆盖、完成会话数；短时运行未覆盖长轮次不得作长上下文结论；缓存命中必须以服务端缓存指标核验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BE1B4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valid=true不等于稳态、样本充分或命中真实；覆盖不足时仅记录，不作结论</w:t>
            </w:r>
          </w:p>
        </w:tc>
      </w:tr>
      <w:tr w14:paraId="6504F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863EE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留存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76172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config.json、summary.json、requests.jsonl、prepared文件、服务端metadata；请求缓冲至运行结束，运行须限定时长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CD7B2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生成内容可能敏感，按证据包权限管理；署名与许可文件随包归档</w:t>
            </w:r>
          </w:p>
        </w:tc>
      </w:tr>
    </w:tbl>
    <w:p w14:paraId="5E10672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3" w:name="_Toc18622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4.5 固定模型、负载与部署配置矩阵（含必须与额外）</w:t>
      </w:r>
      <w:bookmarkEnd w:id="23"/>
    </w:p>
    <w:p w14:paraId="365263F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4" w:name="_Toc24991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4.5.1 负载覆盖与模型绑定</w:t>
      </w:r>
      <w:bookmarkEnd w:id="24"/>
    </w:p>
    <w:p w14:paraId="11D1CCEE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模型与负载采用一对多绑定。必须交付的Qwen3.5-35B双卡绑定6类可执行通用负载：通用问答/多轮、工具调用、推理、结构化输出、长上下文和代码；额外交付E1将其中平台可执行的子集在其他平台执行，E2将可执行子集在GLM 5.3 Flash、DeepSeek V4.1 Flash上执行，并分别冻结容量、SLO和结论，禁止跨平台、跨模型、跨拓扑比较。VisionArena归入A2-V模态适用性检查，Qwen3.5-35B冻结工件未启用图像协议时记为MODEL_MODALITY_NOT_APPLICABLE，不计通过。Qwen3.5-35B的A1—A4必测线使用BF16，W8A8作为同源量化扩展。DeepSeek V4.1 Flash绑定高KV复用与代码。A1—A4仍是唯一任务书结论。本版E1、E2-G和E2-D统一冻结为active=false、NOT_EXECUTED_OPTIONAL，不注册正式target，不生成正式config_id，不开放正式测量队列；后续启用必须发布新版本并逐平台、逐模型、逐拓扑完整冻结执行合同。</w:t>
      </w:r>
    </w:p>
    <w:p w14:paraId="38AF83E7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表4-6 九类负载、测试数据与模型绑定</w:t>
      </w:r>
    </w:p>
    <w:tbl>
      <w:tblPr>
        <w:tblStyle w:val="17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"/>
        <w:gridCol w:w="560"/>
        <w:gridCol w:w="3080"/>
        <w:gridCol w:w="1325"/>
        <w:gridCol w:w="4235"/>
      </w:tblGrid>
      <w:tr w14:paraId="5380D3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C27295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负载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BE98B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交付层级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A0BFF0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评价方式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2EADA5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固定模型/拓扑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90A3C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执行边界</w:t>
            </w:r>
          </w:p>
        </w:tc>
      </w:tr>
      <w:tr w14:paraId="1E9BD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8DB9B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通用问答/多轮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21047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10E71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冻结对话数据集组、P0全量对照与服务容量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818C2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Qwen3.5-35B双卡；E1其他平台；E2 GLM 5.3 Flash、DeepSeek V4.1 Flash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713E1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A2性能合同项</w:t>
            </w:r>
          </w:p>
        </w:tc>
      </w:tr>
      <w:tr w14:paraId="19C94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C82E7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工具调用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EDF29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B2634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BFCL v3/v4、tau2-bench、ToolBench等真实工具与Agent任务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6AC12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Qwen3.5-35B双卡；E1其他平台；E2（可执行时）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11F56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Qwen3.5-35B为A2性能锚点；E2为扩展，不能替代</w:t>
            </w:r>
          </w:p>
        </w:tc>
      </w:tr>
      <w:tr w14:paraId="68C257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C2FB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推理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7C021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4EF5C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冻结官方答案/scorer；各数据集分别报告质量与性能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FCAFC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Qwen3.5-35B双卡；E1其他平台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50D2C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A2质量与能力证据项</w:t>
            </w:r>
          </w:p>
        </w:tc>
      </w:tr>
      <w:tr w14:paraId="06AC47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195F5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结构化输出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579AD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B2103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SchemaStore、JSONSchemaBench、StructEval、BFCL参数JSON及企业JSON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0D71C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Qwen3.5-35B双卡；E1其他平台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B329B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A2质量与能力证据项；不得替代工具调用测试</w:t>
            </w:r>
          </w:p>
        </w:tc>
      </w:tr>
      <w:tr w14:paraId="59B4CA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38766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长上下文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B5D37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E3405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A2容量曲线；A3 LongBench/InfiniteBench/RULER及30720+2048长稳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1AC2A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Qwen3.5-35B双卡；E2（上限内）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59AD9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A2仅报告容量边界；A3承担长上下文验收</w:t>
            </w:r>
          </w:p>
        </w:tc>
      </w:tr>
      <w:tr w14:paraId="51DC4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8D093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高KV复用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60225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6155A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缓存开启/关闭对照、命中与驱逐记录、HBM占用和正确性判定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50C49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 V4.1 Flash（E2-D）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06A5A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不进入Qwen3.5-35B A2/A4</w:t>
            </w:r>
          </w:p>
        </w:tc>
      </w:tr>
      <w:tr w14:paraId="4296E9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773AC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代码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7D8E4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C591D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InstructCoder、LiveCodeBench、HumanEval、MBPP、SyFi及企业代码评判；冻结编译/单测/scorer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1C7D3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Qwen3.5-35B双卡；E1其他平台；E2 GLM 5.3 Flash、DeepSeek V4.1 Flash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A1617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A2代码能力证据及A4 Code租户；E2标准代码服务为额外配置</w:t>
            </w:r>
          </w:p>
        </w:tc>
      </w:tr>
      <w:tr w14:paraId="1889E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A533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多模态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C7865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必须适用性检查；额外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03A6C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VisionArena冻结图文资产及评价程序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BAF52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Qwen3.5-35B（按冻结工件能力）；E2（按模型能力）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EB170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未启用图像协议记MODEL_MODALITY_NOT_APPLICABLE，不算通过；具备后方可执行</w:t>
            </w:r>
          </w:p>
        </w:tc>
      </w:tr>
      <w:tr w14:paraId="6990D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3C50E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公共9项健康线</w:t>
            </w:r>
          </w:p>
        </w:tc>
        <w:tc>
          <w:tcPr>
            <w:tcW w:w="12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7A2BE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工程夜间回归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1FE73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预声明主指标与同规格趋势</w:t>
            </w:r>
          </w:p>
        </w:tc>
        <w:tc>
          <w:tcPr>
            <w:tcW w:w="20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49D75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独立评测服务的固定工程目标</w:t>
            </w:r>
          </w:p>
        </w:tc>
        <w:tc>
          <w:tcPr>
            <w:tcW w:w="23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D7E87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不是任务书必测，不阻塞项目验收</w:t>
            </w:r>
          </w:p>
        </w:tc>
      </w:tr>
    </w:tbl>
    <w:p w14:paraId="70092588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5" w:name="_Toc14494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4.5.2 权威基准与固定测试配置说明</w:t>
      </w:r>
      <w:bookmarkEnd w:id="25"/>
    </w:p>
    <w:p w14:paraId="29F1D528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正式数据按完整指定分片或执行前固化的资格规则处理，不从正式结果中择优抽样。必须交付与额外交付的各配置复用同一data_profile_id、确定性转换协议、负载形状、随机种子、请求顺序和判定程序，但独立进行容量测试。企业JSONL按授权数据标识，不表述为公开基准。每项测试保存数据版本、有序内容校验值、tokenizer校验值、评价程序和原始响应。</w:t>
      </w:r>
    </w:p>
    <w:p w14:paraId="3D8B3806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表4-7 派欧云企业场景数据清单及A1—A4归属</w:t>
      </w:r>
    </w:p>
    <w:tbl>
      <w:tblPr>
        <w:tblStyle w:val="17"/>
        <w:tblW w:w="90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8"/>
        <w:gridCol w:w="1969"/>
        <w:gridCol w:w="1721"/>
        <w:gridCol w:w="2158"/>
      </w:tblGrid>
      <w:tr w14:paraId="1BC32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BC772C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数据配置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66568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来源、规模与性质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A39057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A1—A4归属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4B801D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纳入方式与边界</w:t>
            </w:r>
          </w:p>
        </w:tc>
      </w:tr>
      <w:tr w14:paraId="7A019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9E0BE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PAIO-CHAT-1000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F7EA8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派欧云接口请求1000条；通用问答、写作、总结、分类和客服模拟；以单轮请求为主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F87D3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A2通用问答补充；A4问答租户补充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84724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用于企业场景容量和稳定性回放；不替代P0不少于20000条及多轮合同；重写model、max_tokens等字段后生成独立data_profile_id</w:t>
            </w:r>
          </w:p>
        </w:tc>
      </w:tr>
      <w:tr w14:paraId="13498A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74EDF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PAIO-CODE-EVAL-1000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9DBCB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派欧云流式代码评判请求1000条；输出目标以短分类结果为主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C4FA0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A2推理/时延补充；A4推理租户补充；代码额外负载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652B5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可用于TTFT和短输出性能；缺少独立gold时不得承担推理质量主判；不得归入工具调用</w:t>
            </w:r>
          </w:p>
        </w:tc>
      </w:tr>
      <w:tr w14:paraId="4CFD01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ACB68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PAIO-JSON-500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EFB27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派欧云结构化请求500条；328条json_object、172条json_schema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C5482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A2结构化输出补充；A4结构化租户补充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6C6AB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全部请求执行JSON及Schema合法性检查；统一为本方案固定endpoint、采样和输出上限；不含tools协议</w:t>
            </w:r>
          </w:p>
        </w:tc>
      </w:tr>
      <w:tr w14:paraId="3865A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250CD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PAIO-LONG-PREFILL-5000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4AEF0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混合合成长Prefill 5000条；估算输入10670—22794 token，目标输出96—768 token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8A2B5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A1代表性补充；A2长上下文容量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A2EB9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A1仅补充内容代表性，不替代4096×8主形状和MFU判定；A2按固定tokenizer确定性窗口化；因长度不足不承担A3主判</w:t>
            </w:r>
          </w:p>
        </w:tc>
      </w:tr>
      <w:tr w14:paraId="55D7F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5E8B6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PAIO-PREFIX-SHARED-5000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E7744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混合合成共享前缀5000条；估算输入3770—8762 token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0A15D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A1/A2机制补充；A1—A4不计硬门槛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A4817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用于前缀缓存开关对照及高KV复用额外负载；结果单列，不改变Qwen必测矩阵</w:t>
            </w:r>
          </w:p>
        </w:tc>
      </w:tr>
      <w:tr w14:paraId="70F838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94CA3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PAIO-REUSE-CONV-5000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EC231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混合合成会话复用5000条；含高、中、低复用层级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F222C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A2问答补充；A4问答租户补充；高KV复用额外负载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E5A7B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按复用层级分层报告，不按结果筛选；合成属性必须随结果披露</w:t>
            </w:r>
          </w:p>
        </w:tc>
      </w:tr>
      <w:tr w14:paraId="4E6149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41685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PAIO-SEMANTIC-SIMILAR-5000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2EA51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混合合成语义相似请求5000条；估算输入2826—7263 token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1FA4C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A2/A4扩展，不参与A1—A4硬门槛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7997E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用于语义相似、缓存误命中和混合批稳定性分析；不得表述为真实线上trace</w:t>
            </w:r>
          </w:p>
        </w:tc>
      </w:tr>
      <w:tr w14:paraId="71B8B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D9F19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PAIO-LONGTEXT-4000</w:t>
            </w:r>
          </w:p>
        </w:tc>
        <w:tc>
          <w:tcPr>
            <w:tcW w:w="2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5E9A9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派欧云API生成长文本4000条；字符长度29952—140646；精确token长度执行前计算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4FA74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A2长上下文容量；满足资格条件后用于A3 32K</w:t>
            </w:r>
          </w:p>
        </w:tc>
        <w:tc>
          <w:tcPr>
            <w:tcW w:w="282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8C179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按固定tokenizer和内容hash确定性选择并生成8192/16384及30720输入；完成授权、敏感信息扫描、目标事实和oracle核验后方可进入正式data_profile</w:t>
            </w:r>
          </w:p>
        </w:tc>
      </w:tr>
    </w:tbl>
    <w:p w14:paraId="60EC0B1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6" w:name="_Toc28907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4.5.3 模型族、规模层级与冻结</w:t>
      </w:r>
      <w:bookmarkEnd w:id="26"/>
    </w:p>
    <w:p w14:paraId="5A735304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正式矩阵包含：必须交付Qwen3.5-35B双卡；额外交付E1（Qwen3.5-35B其他平台）与E2（GLM 5.3 Flash、DeepSeek V4.1 Flash，约400B级）。Qwen3.5-35B的BF16基线工件固定revision、完整权重和tokenizer校验值（变体与dtype于配置表冻结）；B0与B1均使用逐字节相同的工件。W8A8工件作为可选系统交付扩展，必须由该基线源工件生成并单独绑定量化配置和完整SHA-256清单，第三方不得现场重量化。本版E1、E2-G和E2-D统一冻结为active=false、NOT_EXECUTED_OPTIONAL，不注册正式target，不生成正式config_id，不开放正式测量队列；后续启用必须发布新版本并逐平台、逐模型、逐拓扑完整冻结执行合同。</w:t>
      </w:r>
    </w:p>
    <w:p w14:paraId="1544A77C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表4-8 模型分层与冻结要求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2677"/>
        <w:gridCol w:w="1359"/>
        <w:gridCol w:w="1461"/>
        <w:gridCol w:w="2123"/>
      </w:tblGrid>
      <w:tr w14:paraId="081E24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499D6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层级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A8D98C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冻结模型工件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12CCFD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拓扑</w:t>
            </w:r>
          </w:p>
        </w:tc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6B189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绑定负载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7198F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实施要求</w:t>
            </w:r>
          </w:p>
        </w:tc>
      </w:tr>
      <w:tr w14:paraId="44D482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69C80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6DC2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EB0AF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双卡（2×910B2，TP=2，非P/D分离）</w:t>
            </w:r>
          </w:p>
        </w:tc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60CB8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问答/多轮、工具调用、推理、结构化、长上下文、代码；A1—A4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10C42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优先启用；A1—A4必测为B0/B1 BF16；W8A8为独立扩展；工作负载专属配置见表附-3</w:t>
            </w:r>
          </w:p>
        </w:tc>
      </w:tr>
      <w:tr w14:paraId="602022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17318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 E1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073BD8">
            <w:pPr>
              <w:keepNext w:val="0"/>
              <w:spacing w:before="0" w:after="0" w:line="320" w:lineRule="exact"/>
              <w:ind w:firstLine="0"/>
              <w:jc w:val="both"/>
              <w:rPr>
                <w:rFonts w:hint="eastAsia" w:eastAsia="仿宋"/>
                <w:lang w:eastAsia="zh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Qwen3.5-35B（其他平台）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A75D2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逐平台冻结（设备数、互联、功耗模式）</w:t>
            </w:r>
          </w:p>
        </w:tc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E88A8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通用负载中平台可执行的子集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46F57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平台、量化格式、运行时、SLO于配置表冻结；缺失不执行；平台间不比较；本版active=false、NOT_EXECUTED_OPTIONAL，不注册target或测量队列；后续启用须发布新版本</w:t>
            </w:r>
          </w:p>
        </w:tc>
      </w:tr>
      <w:tr w14:paraId="5E1175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24C9C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 E2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2992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GLM 5.3 Flash（约400B级）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814D8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多卡/多机（逐拓扑冻结）</w:t>
            </w:r>
          </w:p>
        </w:tc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03235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通用问答/多轮、工具调用、长上下文、代码的可执行项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AAE86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张量/专家/流水并行方式、KV Cache精度、前缀长度和显存利用率须在启用前写入本方案配置表，缺失时不执行；本版active=false、NOT_EXECUTED_OPTIONAL，不注册target或测量队列；后续启用须发布新版本</w:t>
            </w:r>
          </w:p>
        </w:tc>
      </w:tr>
      <w:tr w14:paraId="6D5C4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7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F0FA4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 E2</w:t>
            </w:r>
          </w:p>
        </w:tc>
        <w:tc>
          <w:tcPr>
            <w:tcW w:w="2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7133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 V4.1 Flash（约400B级）</w:t>
            </w:r>
          </w:p>
        </w:tc>
        <w:tc>
          <w:tcPr>
            <w:tcW w:w="136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36F7F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单机8卡或多机（逐拓扑冻结）</w:t>
            </w:r>
          </w:p>
        </w:tc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9E166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高KV复用、标准代码服务、可执行通用负载</w:t>
            </w:r>
          </w:p>
        </w:tc>
        <w:tc>
          <w:tcPr>
            <w:tcW w:w="226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92FF2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同上；高KV复用须有缓存开/关对照；本版active=false、NOT_EXECUTED_OPTIONAL，不注册target或测量队列；后续启用须发布新版本</w:t>
            </w:r>
          </w:p>
        </w:tc>
      </w:tr>
    </w:tbl>
    <w:p w14:paraId="6B4A12D7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7" w:name="_Toc27036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4.5.4 大模型部署资源预算与容量门禁</w:t>
      </w:r>
      <w:bookmarkEnd w:id="27"/>
    </w:p>
    <w:p w14:paraId="13C1BF3D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开展必须交付Qwen3.5-35B双卡测试及额外交付E1、E2测试前必须形成部署容量清单。容量下限按模型权重、运行时开销、KV Cache、激活值和通信缓冲区的总需求计算，并预留不低于10%的显存余量；同时检查分片不均、通信工作区和运行峰值。资源不足时，必须交付记为“不具备判定条件”并发布新版本方案（不得自行增加卡数或降低上下文长度），额外交付记为“未执行”，均不得以投影结果或小模型结果外推。</w:t>
      </w:r>
    </w:p>
    <w:p w14:paraId="0AD247D4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表4-9 大模型部署资源预算与容量门禁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531"/>
        <w:gridCol w:w="2322"/>
        <w:gridCol w:w="1409"/>
        <w:gridCol w:w="1699"/>
      </w:tblGrid>
      <w:tr w14:paraId="02F24D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D5B242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对象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E3C3B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精度/工件</w:t>
            </w:r>
          </w:p>
        </w:tc>
        <w:tc>
          <w:tcPr>
            <w:tcW w:w="27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C7485C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容量账单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896A18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拓扑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074AE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准入条件</w:t>
            </w:r>
          </w:p>
        </w:tc>
      </w:tr>
      <w:tr w14:paraId="3E47B2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788F9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Qwen3.5-35B（必须）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B22A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A1—A4必测=BF16；W8A8为同源不可变扩展工件</w:t>
            </w:r>
          </w:p>
        </w:tc>
        <w:tc>
          <w:tcPr>
            <w:tcW w:w="27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0BBF7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双卡HBM总量、模型权重、KV Cache（32768上下文×A2/A4最大并发）、激活值、通信缓冲区和运行时峰值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063F0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双卡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04BFA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先核验基线工件并执行P0及A1—A4；峰值保留不低于10%余量；W8A8资产齐全后单独核验，不影响BF16结论</w:t>
            </w:r>
          </w:p>
        </w:tc>
      </w:tr>
      <w:tr w14:paraId="1389AC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73D88F">
            <w:pPr>
              <w:keepNext w:val="0"/>
              <w:spacing w:before="0" w:after="0" w:line="320" w:lineRule="exact"/>
              <w:ind w:firstLine="0"/>
              <w:jc w:val="both"/>
              <w:rPr>
                <w:rFonts w:hint="eastAsia" w:eastAsia="仿宋"/>
                <w:lang w:eastAsia="zh"/>
              </w:rPr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Qwen3.5-35B（E1其他平台）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DD0AD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平台量化格式和工件由配置表固定</w:t>
            </w:r>
          </w:p>
        </w:tc>
        <w:tc>
          <w:tcPr>
            <w:tcW w:w="27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12AC3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设备内存、权重、KV Cache、激活值和运行时峰值；端侧另核功耗与温控上限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4D277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逐平台冻结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56BDA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按固定配置启动并核验内存余量；不满足时该平台保持禁用，不影响其他平台；本版保持active=false和NOT_EXECUTED_OPTIONAL，不得在正式测试机现场补配</w:t>
            </w:r>
          </w:p>
        </w:tc>
      </w:tr>
      <w:tr w14:paraId="0D9D9D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7667F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GLM 5.3 Flash（E2-G）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F059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正式模型工件、KV Cache精度和完整启动参数由配置表固定</w:t>
            </w:r>
          </w:p>
        </w:tc>
        <w:tc>
          <w:tcPr>
            <w:tcW w:w="27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08772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专家、KV、激活、全互联通信缓冲区和预留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3F99D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多卡/多机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6F655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固定配置、容量、网络、许可和节点映射齐全后启用；失败时保持禁用，不在测试机调参；本版保持active=false和NOT_EXECUTED_OPTIONAL，不得在正式测试机现场补配</w:t>
            </w:r>
          </w:p>
        </w:tc>
      </w:tr>
      <w:tr w14:paraId="7BE783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3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C1789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DeepSeek V4.1 Flash（E2-D）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ABE8E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正式模型工件、KV Cache精度和完整启动参数由配置表固定</w:t>
            </w:r>
          </w:p>
        </w:tc>
        <w:tc>
          <w:tcPr>
            <w:tcW w:w="272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57A8A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专家、KV、激活、全互联通信缓冲区和预留</w:t>
            </w:r>
          </w:p>
        </w:tc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5E8B9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单机8卡/多机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4A380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按固定配置逐卡检查与通信验证；失败时保持禁用，不在测试机调参；本版保持active=false和NOT_EXECUTED_OPTIONAL，不得在正式测试机现场补配</w:t>
            </w:r>
          </w:p>
        </w:tc>
      </w:tr>
    </w:tbl>
    <w:p w14:paraId="72AC86B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8" w:name="_Toc20077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4.5.5 多级多卡部署场景与测试方案</w:t>
      </w:r>
      <w:bookmarkEnd w:id="28"/>
    </w:p>
    <w:p w14:paraId="5FB8A51E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必须交付采用Qwen3.5-35B双卡（TP=2）；E1其他平台与E2单机8卡/多机测试属于额外交付，分别服务于端侧适配、MoE/EP与all-to-all、跨节点PD和超长链路验证。每项只在真实部署上形成结论；若B0无法在同一固定拓扑部署，只能形成兼容性或可部署性结论，不得形成B1/B0性能提升结论。不同平台、不同模型规模、不同部署拓扑的结论只能并列陈述各自状态和自身B0/B1收益，不得排序、折算或互相外推（见4.6.9）。PD容量规划按输入、输出、到达率和SLO计算，P:D资源比由固定负载需求和实测单元能力直接推导。</w:t>
      </w:r>
    </w:p>
    <w:p w14:paraId="49A3684F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表4-10 多级多卡部署与测试方案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2122"/>
        <w:gridCol w:w="2256"/>
        <w:gridCol w:w="2273"/>
      </w:tblGrid>
      <w:tr w14:paraId="721EA6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B6EAD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B9CA7F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冻结配置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59994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主要指标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9D9E6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准入与结论边界</w:t>
            </w:r>
          </w:p>
        </w:tc>
      </w:tr>
      <w:tr w14:paraId="6FF51B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C1CB7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Qwen3.5-35B双卡（必须）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F8536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TP=2、PP=1、DP=1；MoE专家并行方式按冻结工件确定；最大模型长度、精度和显存参数由本方案配置表一次性固定；6类通用数据集组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42A30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各测试单元的容量、TTFT/TPOT、质量、通信开销和HBM占用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9F883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配置缺失或固定配置无法启动时记不具备判定条件；B0/B1同拓扑对照</w:t>
            </w:r>
          </w:p>
        </w:tc>
      </w:tr>
      <w:tr w14:paraId="0077A6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ADAA1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E1其他平台（端侧）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1DA48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平台、设备数、量化格式、线程/核绑定和功耗模式一次性固定；负载子集和SLO逐平台冻结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37D8D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平台内TTFT/TPOT、吞吐、内存、功耗/能效、质量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E2A49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逐平台独立结论，不与其他平台或910B2比较；配置缺失不执行</w:t>
            </w:r>
          </w:p>
        </w:tc>
      </w:tr>
      <w:tr w14:paraId="6C78C3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6D593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E2-D 高KV复用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F414B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固定前缀3840 token、后缀256 token、输出256 token、10组前缀、200条请求、到达率1请求/秒；其余启动参数由本方案配置表固定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6E7D6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命中与驱逐、冷/热请求TTFT、吞吐、HBM占用和正确性判定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9E6F8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必须执行缓存关闭/开启对照；固定配置无法运行时保持禁用，不得现场调参</w:t>
            </w:r>
          </w:p>
        </w:tc>
      </w:tr>
      <w:tr w14:paraId="6EA3BE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9EB9D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E2-D 代码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7EBBF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64个冻结样本；输入不超过2048 token，输出上限1024 token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9028D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编译/单测正确率、TTFT/TPOT、吞吐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E16A9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固定容器和判定规则；GLM 5.3 Flash代码配置另行独立冻结</w:t>
            </w:r>
          </w:p>
        </w:tc>
      </w:tr>
      <w:tr w14:paraId="0E5543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87A8E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 Prefill/Decode单元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BECBA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400B级模型采用PD分离时，Prefill与Decode单元的张量/专家/数据并行、块大小、最大序列数、KV Cache精度和通信后端由企业提供并在配置表冻结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B7CC2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Prefill：输入token/s、TTFT、队列、网络、KV传输；Decode：输出token/s、TPOT、并发、专家热点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9A40A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原始YAML、规范化配置和生效值一致后执行；Decode目标TPOT以配置表冻结值为准；不得现场调参</w:t>
            </w:r>
          </w:p>
        </w:tc>
      </w:tr>
      <w:tr w14:paraId="11C75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05A3C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PD容量与P:D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995E4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冻结I_eff、O、λ、SLO、μP、μD、CD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4A321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nP=ceil(λI_eff/μP)；nD=ceil(λO/μD)；Little复核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91F8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每个负载的参数由企业实测记录标定；不得跨负载套用</w:t>
            </w:r>
          </w:p>
        </w:tc>
      </w:tr>
    </w:tbl>
    <w:p w14:paraId="26F52BE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29" w:name="_Toc22588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 测试方法与结果判定</w:t>
      </w:r>
      <w:bookmarkEnd w:id="29"/>
    </w:p>
    <w:p w14:paraId="4DB42F0B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0" w:name="_Toc25400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4.6.1 环境和配置控制</w:t>
      </w:r>
      <w:bookmarkEnd w:id="30"/>
    </w:p>
    <w:p w14:paraId="4FA9FB9A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正式测试前为每个profile_id生成不可变启动参数合同，覆盖模型工件与服务名、精度和量化、KV Cache精度与块大小、并行方式、节点与卡映射、P/D部署、副本数、最大模型长度、显存利用率、序列和批token上限、分块预填充、前缀缓存、推测解码、编译与图执行、通信、CPU绑定、调度、环境变量、种子和请求终止行为。A1-BF16、P0-DIALOGUE-BF16、A2六单元、A3-32K-BF16和A4-MT-BF16分别形成配置校验值；W8A8扩展使用独立profile和config_id。所有性能字段显式填写，不依赖软件默认值。</w:t>
      </w:r>
    </w:p>
    <w:p w14:paraId="48F9BD5F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表附-2至表附-7是启动参数和请求参数的唯一来源，评测环境不得搜索、试配或调优。Qwen3.5-35B双卡统一采用非P/D分离服务。A2六个执行单元分别启动独立profile；A2-V只进行模态适用性判定。B0-BF16与B1-BF16除代码提交、镜像身份和角色标识外，规范化服务配置、环境变量、模型工件和客户端合同逐项相同。W8A8扩展仅允许模型工件、served_model_name和quantization按固定角色合同变化；其余字段与对应BF16 profile一致。两侧保存原始命令、规范化配置、配置校验值和启动生效回执。字段缺失、生效值不一致、图回退或依赖隐式默认值时拒绝测量。固定配置无法运行时保留证据并发布新版本，不自动降级或临时改参。</w:t>
      </w:r>
    </w:p>
    <w:p w14:paraId="4726131E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1" w:name="_Toc5500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4.6.2 负载与测量</w:t>
      </w:r>
      <w:bookmarkEnd w:id="31"/>
    </w:p>
    <w:p w14:paraId="1AB84D61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P0使用通用问答/多轮数据资产的完整指定分片，规模不少于20000条有效请求，固定4.0请求/秒、并发32、max_tokens=128，B0/B1按交替顺序各执行3次冷启动生命周期。A2通用问答/多轮在相同有序请求池上按0.25、0.5、1、2、3、4、6、8请求/秒扫描；工具调用执行不少于512个可判定用例，按0.25、0.5、1、1.5、2、3、4、6请求/秒扫描；推理执行不少于1000个可自动判定用例；结构化输出执行不少于60个符合资格规则的schema；长上下文从授权文本生成16个8192+512和16个16384+1024固定请求。P0及A2—A4的B0/B1均使用compile_mode=vllm_compile、enforce_eager=false、FULL_DECODE_ONLY和各profile固定capture sizes。基线不得被强制eager，B1不得使用表外单边开关。所有扫描只改变客户端到达率。</w:t>
      </w:r>
    </w:p>
    <w:p w14:paraId="2B7D2FC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2" w:name="_Toc24507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4.6.3 重复与统计</w:t>
      </w:r>
      <w:bookmarkEnd w:id="32"/>
    </w:p>
    <w:p w14:paraId="7C9F695E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每个正式测试单元至少执行3次独立完整生命周期（服务冷启动—预热—测量—停止），取预先声明主指标的中位数。一次基准测试中的多请求不计为多次重复。失败、超时、非零错误率和替补运行全部保留；波动异常时可追加两次，但不得替换原集合或选择最好值。每次须绑定相同的解析后配置校验值，并形成重复试验记录和中位数选择记录。</w:t>
      </w:r>
    </w:p>
    <w:p w14:paraId="0A9A273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3" w:name="_Toc3531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4.6.4 指标计算</w:t>
      </w:r>
      <w:bookmarkEnd w:id="33"/>
    </w:p>
    <w:p w14:paraId="56DE804E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表4-11 统一指标分层、计算口径与适用范围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1"/>
        <w:gridCol w:w="4284"/>
        <w:gridCol w:w="1835"/>
      </w:tblGrid>
      <w:tr w14:paraId="1CB460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ED13B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194199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计算公式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F64B5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档位、单位与适用范围</w:t>
            </w:r>
          </w:p>
        </w:tc>
      </w:tr>
      <w:tr w14:paraId="0F18F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DC905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请求吞吐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9B7DA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Q_req = N_ok / T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30542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REQUIRED；request/s；全部数据集</w:t>
            </w:r>
          </w:p>
        </w:tc>
      </w:tr>
      <w:tr w14:paraId="3DC16E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12DA4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输入吞吐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4D21D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Q_in = Σ input_tokens / T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17666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REQUIRED；token/s；全部数据集</w:t>
            </w:r>
          </w:p>
        </w:tc>
      </w:tr>
      <w:tr w14:paraId="1FB5BA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B6AEC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输出吞吐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5BFE4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Q_out = Σ output_tokens / T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37D36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REQUIRED；token/s；全部数据集</w:t>
            </w:r>
          </w:p>
        </w:tc>
      </w:tr>
      <w:tr w14:paraId="79ABF7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BF028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总吞吐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CFED3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Q_total = Σ(input_tokens + output_tokens) / T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CB8B4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REQUIRED；token/s；全部数据集</w:t>
            </w:r>
          </w:p>
        </w:tc>
      </w:tr>
      <w:tr w14:paraId="0426C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48335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TTFT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70FB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TTFT_i = t_first,i - t_send,i；报告 mean/p95/p99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538BC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REQUIRED；ms；流式服务</w:t>
            </w:r>
          </w:p>
        </w:tc>
      </w:tr>
      <w:tr w14:paraId="3FD9E2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677F2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TPOT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84F3C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TPOT_i = (t_last,i - t_first,i) / (O_i - 1)；报告 mean/p95/p99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88C42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REQUIRED；ms/token；输出≥2 token</w:t>
            </w:r>
          </w:p>
        </w:tc>
      </w:tr>
      <w:tr w14:paraId="055825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C4332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端到端时延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EA1C2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E2E_i = t_end,i - t_send,i；报告 mean/p95/p99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45FF1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REQUIRED；ms；全部数据集</w:t>
            </w:r>
          </w:p>
        </w:tc>
      </w:tr>
      <w:tr w14:paraId="31F96E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95C5B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成功率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CF166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R_success = N_ok / N_plan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9B899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REQUIRED；%；全部数据集</w:t>
            </w:r>
          </w:p>
        </w:tc>
      </w:tr>
      <w:tr w14:paraId="37D2B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054AE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正确率/任务得分</w:t>
            </w:r>
          </w:p>
        </w:tc>
        <w:tc>
          <w:tcPr>
            <w:tcW w:w="428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18735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Accuracy = N_correct / N_plan；特殊任务使用冻结官方 scorer</w:t>
            </w:r>
          </w:p>
        </w:tc>
        <w:tc>
          <w:tcPr>
            <w:tcW w:w="1835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D932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REQUIRED；%或官方分数；具有 oracle 的数据集</w:t>
            </w:r>
          </w:p>
        </w:tc>
      </w:tr>
      <w:tr w14:paraId="52D5EF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399CEE1A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OOM</w:t>
            </w:r>
          </w:p>
        </w:tc>
        <w:tc>
          <w:tcPr>
            <w:tcW w:w="4284" w:type="dxa"/>
          </w:tcPr>
          <w:p w14:paraId="0FE8A228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N_OOM = OOM 事件数</w:t>
            </w:r>
          </w:p>
        </w:tc>
        <w:tc>
          <w:tcPr>
            <w:tcW w:w="1835" w:type="dxa"/>
          </w:tcPr>
          <w:p w14:paraId="32E31BC8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REQUIRED；count；全部数据集</w:t>
            </w:r>
          </w:p>
        </w:tc>
      </w:tr>
      <w:tr w14:paraId="07DB4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7961D2E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静默截断率</w:t>
            </w:r>
          </w:p>
        </w:tc>
        <w:tc>
          <w:tcPr>
            <w:tcW w:w="4284" w:type="dxa"/>
          </w:tcPr>
          <w:p w14:paraId="407C3B90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R_trunc = N_silent_truncation / N_plan</w:t>
            </w:r>
          </w:p>
        </w:tc>
        <w:tc>
          <w:tcPr>
            <w:tcW w:w="1835" w:type="dxa"/>
          </w:tcPr>
          <w:p w14:paraId="66A3845D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REQUIRED；%；全部数据集</w:t>
            </w:r>
          </w:p>
        </w:tc>
      </w:tr>
      <w:tr w14:paraId="54D95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1E7507F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B1/B0 吞吐比</w:t>
            </w:r>
          </w:p>
        </w:tc>
        <w:tc>
          <w:tcPr>
            <w:tcW w:w="4284" w:type="dxa"/>
          </w:tcPr>
          <w:p w14:paraId="5D834990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R_Q = median(Q_B1,1..3) / median(Q_B0,1..3)</w:t>
            </w:r>
          </w:p>
        </w:tc>
        <w:tc>
          <w:tcPr>
            <w:tcW w:w="1835" w:type="dxa"/>
          </w:tcPr>
          <w:p w14:paraId="50F8B40E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REQUIRED；ratio；全部性能测试</w:t>
            </w:r>
          </w:p>
        </w:tc>
      </w:tr>
      <w:tr w14:paraId="07C694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757DC9E8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吞吐提升率</w:t>
            </w:r>
          </w:p>
        </w:tc>
        <w:tc>
          <w:tcPr>
            <w:tcW w:w="4284" w:type="dxa"/>
          </w:tcPr>
          <w:p w14:paraId="33A7A244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ΔQ = (R_Q - 1) × 100%</w:t>
            </w:r>
          </w:p>
        </w:tc>
        <w:tc>
          <w:tcPr>
            <w:tcW w:w="1835" w:type="dxa"/>
          </w:tcPr>
          <w:p w14:paraId="7BFA47A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REQUIRED；%；全部性能测试</w:t>
            </w:r>
          </w:p>
        </w:tc>
      </w:tr>
      <w:tr w14:paraId="48B2E1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8ADEE0A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时延改善率</w:t>
            </w:r>
          </w:p>
        </w:tc>
        <w:tc>
          <w:tcPr>
            <w:tcW w:w="4284" w:type="dxa"/>
          </w:tcPr>
          <w:p w14:paraId="2CBA7FDB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ΔL = (1 - median(L_B1)/median(L_B0)) × 100%</w:t>
            </w:r>
          </w:p>
        </w:tc>
        <w:tc>
          <w:tcPr>
            <w:tcW w:w="1835" w:type="dxa"/>
          </w:tcPr>
          <w:p w14:paraId="781E4D4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REQUIRED；%；全部性能测试</w:t>
            </w:r>
          </w:p>
        </w:tc>
      </w:tr>
      <w:tr w14:paraId="0B84FE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7AA99E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跨场景几何平均</w:t>
            </w:r>
          </w:p>
        </w:tc>
        <w:tc>
          <w:tcPr>
            <w:tcW w:w="4284" w:type="dxa"/>
          </w:tcPr>
          <w:p w14:paraId="06B83DB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GM = exp[(1/K) Σ ln(R_Q,k)]</w:t>
            </w:r>
          </w:p>
        </w:tc>
        <w:tc>
          <w:tcPr>
            <w:tcW w:w="1835" w:type="dxa"/>
          </w:tcPr>
          <w:p w14:paraId="4076F5CB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REQUIRED；ratio；预声明验收场景</w:t>
            </w:r>
          </w:p>
        </w:tc>
      </w:tr>
      <w:tr w14:paraId="32D111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14778F5C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极限百万 token 成本</w:t>
            </w:r>
          </w:p>
        </w:tc>
        <w:tc>
          <w:tcPr>
            <w:tcW w:w="4284" w:type="dxa"/>
          </w:tcPr>
          <w:p w14:paraId="3D8B188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C_raw = H × 10^6 / (3600 × Q_raw)</w:t>
            </w:r>
          </w:p>
        </w:tc>
        <w:tc>
          <w:tcPr>
            <w:tcW w:w="1835" w:type="dxa"/>
          </w:tcPr>
          <w:p w14:paraId="581033CD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REQUIRED；货币/1M token；价格测试</w:t>
            </w:r>
          </w:p>
        </w:tc>
      </w:tr>
      <w:tr w14:paraId="4B88C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7BFB6C20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SLO 百万 token 成本</w:t>
            </w:r>
          </w:p>
        </w:tc>
        <w:tc>
          <w:tcPr>
            <w:tcW w:w="4284" w:type="dxa"/>
          </w:tcPr>
          <w:p w14:paraId="755E7CA0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C_slo = H × 10^6 / (3600 × Q_slo)</w:t>
            </w:r>
          </w:p>
        </w:tc>
        <w:tc>
          <w:tcPr>
            <w:tcW w:w="1835" w:type="dxa"/>
          </w:tcPr>
          <w:p w14:paraId="6F2D8854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REQUIRED；货币/1M token；正式报价</w:t>
            </w:r>
          </w:p>
        </w:tc>
      </w:tr>
      <w:tr w14:paraId="0722D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4E74537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峰值填平率</w:t>
            </w:r>
          </w:p>
        </w:tc>
        <w:tc>
          <w:tcPr>
            <w:tcW w:w="4284" w:type="dxa"/>
          </w:tcPr>
          <w:p w14:paraId="1CD4FE19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φ = 实际承载容量 / 可提供的合规饱和容量</w:t>
            </w:r>
          </w:p>
        </w:tc>
        <w:tc>
          <w:tcPr>
            <w:tcW w:w="1835" w:type="dxa"/>
          </w:tcPr>
          <w:p w14:paraId="414EB73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REQUIRED；%；正式报价</w:t>
            </w:r>
          </w:p>
        </w:tc>
      </w:tr>
      <w:tr w14:paraId="282472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7819593B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报价（加价率）</w:t>
            </w:r>
          </w:p>
        </w:tc>
        <w:tc>
          <w:tcPr>
            <w:tcW w:w="4284" w:type="dxa"/>
          </w:tcPr>
          <w:p w14:paraId="0176205F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Price_1M = (C_slo / φ) × (1 + c_cloud) × (1 + r_markup)</w:t>
            </w:r>
          </w:p>
        </w:tc>
        <w:tc>
          <w:tcPr>
            <w:tcW w:w="1835" w:type="dxa"/>
          </w:tcPr>
          <w:p w14:paraId="4BE642A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REQUIRED；货币/1M token；正式报价</w:t>
            </w:r>
          </w:p>
        </w:tc>
      </w:tr>
      <w:tr w14:paraId="1E6ECD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2121FFF1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SLO Goodput</w:t>
            </w:r>
          </w:p>
        </w:tc>
        <w:tc>
          <w:tcPr>
            <w:tcW w:w="4284" w:type="dxa"/>
          </w:tcPr>
          <w:p w14:paraId="08F53B82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G_slo = N_slo / T</w:t>
            </w:r>
          </w:p>
        </w:tc>
        <w:tc>
          <w:tcPr>
            <w:tcW w:w="1835" w:type="dxa"/>
          </w:tcPr>
          <w:p w14:paraId="6C5A8363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ADDITIONAL；request/s；在线/rate scan</w:t>
            </w:r>
          </w:p>
        </w:tc>
      </w:tr>
      <w:tr w14:paraId="2FB9C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0FB3292C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Cache 命中率</w:t>
            </w:r>
          </w:p>
        </w:tc>
        <w:tc>
          <w:tcPr>
            <w:tcW w:w="4284" w:type="dxa"/>
          </w:tcPr>
          <w:p w14:paraId="39ABCA2D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H_cache = hit_blocks / queried_blocks</w:t>
            </w:r>
          </w:p>
        </w:tc>
        <w:tc>
          <w:tcPr>
            <w:tcW w:w="1835" w:type="dxa"/>
          </w:tcPr>
          <w:p w14:paraId="2629EE97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ADDITIONAL；%；Prefix/KV/复用场景</w:t>
            </w:r>
          </w:p>
        </w:tc>
      </w:tr>
      <w:tr w14:paraId="25EA0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529895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HBM 峰值</w:t>
            </w:r>
          </w:p>
        </w:tc>
        <w:tc>
          <w:tcPr>
            <w:tcW w:w="4284" w:type="dxa"/>
          </w:tcPr>
          <w:p w14:paraId="509BBE2A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HBM_peak = max_t HBM_used(t)</w:t>
            </w:r>
          </w:p>
        </w:tc>
        <w:tc>
          <w:tcPr>
            <w:tcW w:w="1835" w:type="dxa"/>
          </w:tcPr>
          <w:p w14:paraId="4891B933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ADDITIONAL；GiB；全部数据集</w:t>
            </w:r>
          </w:p>
        </w:tc>
      </w:tr>
      <w:tr w14:paraId="736DC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10F95DE4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NPU 平均利用率</w:t>
            </w:r>
          </w:p>
        </w:tc>
        <w:tc>
          <w:tcPr>
            <w:tcW w:w="4284" w:type="dxa"/>
          </w:tcPr>
          <w:p w14:paraId="2B326A11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U_NPU = (1/T) ∫ U_NPU(t)dt</w:t>
            </w:r>
          </w:p>
        </w:tc>
        <w:tc>
          <w:tcPr>
            <w:tcW w:w="1835" w:type="dxa"/>
          </w:tcPr>
          <w:p w14:paraId="3B556730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ADDITIONAL；%；全部数据集</w:t>
            </w:r>
          </w:p>
        </w:tc>
      </w:tr>
      <w:tr w14:paraId="3F05A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7AD1BFB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MFU</w:t>
            </w:r>
          </w:p>
        </w:tc>
        <w:tc>
          <w:tcPr>
            <w:tcW w:w="4284" w:type="dxa"/>
          </w:tcPr>
          <w:p w14:paraId="124E4501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MFU = TFLOPS_effective / TFLOPS_peak</w:t>
            </w:r>
          </w:p>
        </w:tc>
        <w:tc>
          <w:tcPr>
            <w:tcW w:w="1835" w:type="dxa"/>
          </w:tcPr>
          <w:p w14:paraId="012DF23D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ADDITIONAL；%；A1 固定形状</w:t>
            </w:r>
          </w:p>
        </w:tc>
      </w:tr>
      <w:tr w14:paraId="146263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9618DFF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报价（会计毛利率）</w:t>
            </w:r>
          </w:p>
        </w:tc>
        <w:tc>
          <w:tcPr>
            <w:tcW w:w="4284" w:type="dxa"/>
          </w:tcPr>
          <w:p w14:paraId="688ECC85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Price_1M = (C_slo / φ) × (1 + c_cloud) / (1 - m_gross)</w:t>
            </w:r>
          </w:p>
        </w:tc>
        <w:tc>
          <w:tcPr>
            <w:tcW w:w="1835" w:type="dxa"/>
          </w:tcPr>
          <w:p w14:paraId="4CBB3B27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ADDITIONAL；货币/1M token；正式报价</w:t>
            </w:r>
          </w:p>
        </w:tc>
      </w:tr>
      <w:tr w14:paraId="120BBC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C2E174C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三轮变异系数</w:t>
            </w:r>
          </w:p>
        </w:tc>
        <w:tc>
          <w:tcPr>
            <w:tcW w:w="4284" w:type="dxa"/>
          </w:tcPr>
          <w:p w14:paraId="65BB0372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CV = std(x_1,x_2,x_3) / mean(x_1,x_2,x_3)</w:t>
            </w:r>
          </w:p>
        </w:tc>
        <w:tc>
          <w:tcPr>
            <w:tcW w:w="1835" w:type="dxa"/>
          </w:tcPr>
          <w:p w14:paraId="706A59DF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ADDITIONAL；ratio；稳定性诊断</w:t>
            </w:r>
          </w:p>
        </w:tc>
      </w:tr>
      <w:tr w14:paraId="5D90E0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C41DBD8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平均功耗</w:t>
            </w:r>
          </w:p>
        </w:tc>
        <w:tc>
          <w:tcPr>
            <w:tcW w:w="4284" w:type="dxa"/>
          </w:tcPr>
          <w:p w14:paraId="3571FD56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P_avg = (1/T) ∫ P(t)dt</w:t>
            </w:r>
          </w:p>
        </w:tc>
        <w:tc>
          <w:tcPr>
            <w:tcW w:w="1835" w:type="dxa"/>
          </w:tcPr>
          <w:p w14:paraId="5435B1D2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ADDITIONAL；W；能耗诊断</w:t>
            </w:r>
          </w:p>
        </w:tc>
      </w:tr>
      <w:tr w14:paraId="637E5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19D9DF3F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每百万 token 能耗</w:t>
            </w:r>
          </w:p>
        </w:tc>
        <w:tc>
          <w:tcPr>
            <w:tcW w:w="4284" w:type="dxa"/>
          </w:tcPr>
          <w:p w14:paraId="4BEC061B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E_1M = ∫P(t)dt / (N_token / 10^6)</w:t>
            </w:r>
          </w:p>
        </w:tc>
        <w:tc>
          <w:tcPr>
            <w:tcW w:w="1835" w:type="dxa"/>
          </w:tcPr>
          <w:p w14:paraId="599E41FC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ADDITIONAL；kWh/1M token；能耗诊断</w:t>
            </w:r>
          </w:p>
        </w:tc>
      </w:tr>
      <w:tr w14:paraId="5589B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1" w:type="dxa"/>
          </w:tcPr>
          <w:p w14:paraId="6E867CE7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Jain 公平指数</w:t>
            </w:r>
          </w:p>
        </w:tc>
        <w:tc>
          <w:tcPr>
            <w:tcW w:w="4284" w:type="dxa"/>
          </w:tcPr>
          <w:p w14:paraId="07D575AD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J = (Σx_j)^2 / [m × Σ(x_j^2)]</w:t>
            </w:r>
          </w:p>
        </w:tc>
        <w:tc>
          <w:tcPr>
            <w:tcW w:w="1835" w:type="dxa"/>
          </w:tcPr>
          <w:p w14:paraId="14499212">
            <w:pPr>
              <w:spacing w:before="0" w:after="0" w:line="320" w:lineRule="exact"/>
              <w:ind w:firstLine="0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ADDITIONAL；0–1；A4 多租户</w:t>
            </w:r>
          </w:p>
        </w:tc>
      </w:tr>
    </w:tbl>
    <w:p w14:paraId="28E8E66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4" w:name="_Toc3424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4.6.5 A1有效算力专项规则</w:t>
      </w:r>
      <w:bookmarkEnd w:id="34"/>
    </w:p>
    <w:p w14:paraId="09DB30C5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A1固定主形状为输入4096 token、批量8，辅助形状为输入1024 token、批量32和输入8192 token、批量4；输出长度1 token，采用闭环负载，预热10轮、测量30轮。服务配置为BF16、张量并行2（双卡）、流水并行1、数据并行1、最大模型长度32768、显存利用率0.85、关闭前缀缓存和分块预填充、最大序列数32、单批最大token数32768，并忽略终止符。910B2 BF16峰值分母按本方案规定的ascend-dmi三次测量中位数确定；有效FLOPs按effective_compute_spec v1计算，并要求与msprof校准误差不超过3%。有效FLOPs按双卡合计，峰值分母取2×单卡ascend-dmi中位数，结果按单芯片均值报告。校准只核验计量口径，不得据此更换主形状或调整启动参数。</w:t>
      </w:r>
    </w:p>
    <w:p w14:paraId="38EAB003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表4-12 A1有效算力计算与防选择性规则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2"/>
        <w:gridCol w:w="4404"/>
        <w:gridCol w:w="2520"/>
      </w:tblGrid>
      <w:tr w14:paraId="1939F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6F30A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控制项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A9DD5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固定规则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9D43A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必备证据</w:t>
            </w:r>
          </w:p>
        </w:tc>
      </w:tr>
      <w:tr w14:paraId="2BD2D7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5ED67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有效算量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EC1AD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effective_compute_spec.json按模型版本和精度给出完整模型前向算量公式，B0/B1共用一份规范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8C422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版本化规范、公式推导、模型配置/权重哈希和复算脚本</w:t>
            </w:r>
          </w:p>
        </w:tc>
      </w:tr>
      <w:tr w14:paraId="66D053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A3AF4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Padding与MoE计数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8766E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分子不计入masked/padded token和未路由专家的无效算量；实际物理执行算量另行报告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842D7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有效/物理token数、专家路由日志、硬件计数器与差异说明</w:t>
            </w:r>
          </w:p>
        </w:tc>
      </w:tr>
      <w:tr w14:paraId="1AD301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2B635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理论峰值分母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8FF81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固定精确芯片型号、数值精度和稠密/稀疏模式的官方峰值；仅在本方案规定的稀疏模式真实执行时可用稀疏峰值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2CAC1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厂商正式规格文件、设备识别、精度与稀疏执行回执</w:t>
            </w:r>
          </w:p>
        </w:tc>
      </w:tr>
      <w:tr w14:paraId="797A4A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F0D4C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形状冻结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1F7E6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预先固定1个主形状和2个辅助形状；主形状在看到正式结果前指定；禁止best-of、扫描后择优或替换主形状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402FE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版本化形状记录、预试验记录、正式测试启动时间和全部形状结果</w:t>
            </w:r>
          </w:p>
        </w:tc>
      </w:tr>
      <w:tr w14:paraId="32DE75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7C35A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时间边界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222B7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预热后对完整模型前向执行同步墙钟计时，包含kernel launch、必要同步和计算通信，排除tokenizer和HTTP网络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E9729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端到端前向时戳、显式同步代码路径、Profiler时间线和原始计时记录</w:t>
            </w:r>
          </w:p>
        </w:tc>
      </w:tr>
      <w:tr w14:paraId="6BD3F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3B994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重复与复核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73300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至少3次独立生命周期测量，按本方案5.3选取中位数；算量规范、输入和原始证据均留存哈希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07299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三次/五次原始结果、规范哈希、roofline/计数器交叉验证和第三方复算记录</w:t>
            </w:r>
          </w:p>
        </w:tc>
      </w:tr>
    </w:tbl>
    <w:p w14:paraId="3D12C399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5" w:name="_Toc8386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4.6.6 A4全系统单位token成本规则</w:t>
      </w:r>
      <w:bookmarkEnd w:id="35"/>
    </w:p>
    <w:p w14:paraId="13E6A71E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A4使用A4-MT-BF16-PC配置，B0与B1均启用前缀缓存和FULL_DECODE_ONLY，五租户分别引用已冻结的通用问答/多轮、工具/Agent、推理、结构化输出和代码数据集组。先以32、64、96、128、192、256、384输出token/秒固定点扫描B0-BF16混合容量，每点600秒、点间排空60秒；正式负载取三次扫描中位最大合规速率的70%。各租户投递输出token份额20%，每租户并发上限4，全局16，预热5分钟、测量30分钟（有效测量区间与SLO约束见表4-2b，各租户按绝对SLO分别判定）。B1-BF16每百万成功输出token全生命周期成本较B0-BF16降低不低于30%；Jain公平性不低于0.90，份额相对20%偏差不超过10%，各租户p99 TTFT和TPOT不超过隔离B0同负载的1.25倍；样本不足1000时0失败，两卡平均利用率不低于60%。W8A8扩展结果单列，不替代BF16判定。</w:t>
      </w:r>
    </w:p>
    <w:p w14:paraId="12A5D7E8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表4-13 A4成本与利用率核算要求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4316"/>
        <w:gridCol w:w="2635"/>
      </w:tblGrid>
      <w:tr w14:paraId="0DF240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58A6F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核算项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0B0B3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强制规则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BAAFA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结论要求</w:t>
            </w:r>
          </w:p>
        </w:tc>
      </w:tr>
      <w:tr w14:paraId="3F067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9352B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主指标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D8DB5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BF16必测线的全系统每百万成功输出token成本；B0-BF16与B1-BF16使用相同资源边界、价格时点、摊销周期、负载和SLO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63A6E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B1-BF16较B0-BF16降低≥30%；W8A8扩展结果单列</w:t>
            </w:r>
          </w:p>
        </w:tc>
      </w:tr>
      <w:tr w14:paraId="399393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FF1DD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成本分子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28D5C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纳入NPU、CPU/内存主机、节点间网络、存储/KV服务、能耗、付费软件/服务、预留空闲及失败/超时/重试请求消耗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9D821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任一实质成本分项缺失、以零代替或无法复核时，A4记为不具备判定条件</w:t>
            </w:r>
          </w:p>
        </w:tc>
      </w:tr>
      <w:tr w14:paraId="6F0A03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7D417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成本分母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4694E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仅计入测量区间内完成质量、协议和SLO检查的成功输出token；输入token及失败输出不得扩大分母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CC489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保留成功/失败请求、输入/输出token和重试链路的完整分母</w:t>
            </w:r>
          </w:p>
        </w:tc>
      </w:tr>
      <w:tr w14:paraId="3CB306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29B1C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价格与分摊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9577F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冻结同一价格时点、计费币种、税费口径、使用率假设、购置/租用模式和折旧或摊销规则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27BE0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价格依据、版本化全系统成本清单和可重算表须同时交付</w:t>
            </w:r>
          </w:p>
        </w:tc>
      </w:tr>
      <w:tr w14:paraId="54363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1DF59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设备利用率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63518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固定厂商计数器及采样频率；A4双卡配置同时报告整机平均、每卡平均和时间窗口p10/p50/p90（均限于测量区间）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3AD62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A4两卡平均利用率不低于60%；以该测试配置（2卡）的每卡平均值为准，不另设70%门槛；不得用短时峰值掩盖整体利用率</w:t>
            </w:r>
          </w:p>
        </w:tc>
      </w:tr>
      <w:tr w14:paraId="25E225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A353E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补充指标</w:t>
            </w:r>
          </w:p>
        </w:tc>
        <w:tc>
          <w:tcPr>
            <w:tcW w:w="4876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D7444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可另行报告NPU-only成本、NPU卡时和每token能耗，但必须与全系统主指标同期、同负载</w:t>
            </w:r>
          </w:p>
        </w:tc>
        <w:tc>
          <w:tcPr>
            <w:tcW w:w="294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630C7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补充指标仅用于归因，不得单独支持A4通过结论</w:t>
            </w:r>
          </w:p>
        </w:tc>
      </w:tr>
    </w:tbl>
    <w:p w14:paraId="6FCBF54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6" w:name="_Toc25066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4.6.7 结果判定与复测</w:t>
      </w:r>
      <w:bookmarkEnd w:id="36"/>
    </w:p>
    <w:p w14:paraId="7E8E5F3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任务书阈值、工程健康线和对外提升数字必须分开。A1—A4仅按本方案合同阈值判定；九项公共负载的吞吐回退不超过1%、TTFT恶化不超过10%、TBT恶化不超过5%，仅用于夜间工程回归，不属于验收目标。未经同规格B0/B1正式证据，不得发布提升结论。额外交付结果不影响A1—A4结论。</w:t>
      </w:r>
    </w:p>
    <w:p w14:paraId="36E6BAEF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7" w:name="_Toc22393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4.6.8 研发阶段正确性门禁与专用性能测试</w:t>
      </w:r>
      <w:bookmarkEnd w:id="37"/>
    </w:p>
    <w:p w14:paraId="4C9E3E76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持续集成与持续交付只执行静态校验、单元测试、构建、请求合同校验和签名结果发布门禁，不直接占用加速卡。正式性能请求由持续集成系统提交至独立评测服务，经鉴权、幂等校验、排队、独占资源锁和预检后运行；产物保存至不可变存储并由服务器签名。只有验签通过的证据包可进入结果快照、项目网站和验收报告。普通代码变更不运行正式性能测试；版本发布、里程碑和正式验收必须完成Qwen3.5-35B的A1—A4。</w:t>
      </w:r>
    </w:p>
    <w:p w14:paraId="6DCF1453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表4-14 CI/CD最小正确性门禁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9"/>
        <w:gridCol w:w="2229"/>
        <w:gridCol w:w="2136"/>
        <w:gridCol w:w="2406"/>
      </w:tblGrid>
      <w:tr w14:paraId="422168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4B9DB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门禁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EEBFD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触发范围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434C3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执行内容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CFA60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放行规则</w:t>
            </w:r>
          </w:p>
        </w:tc>
      </w:tr>
      <w:tr w14:paraId="24661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BCAAE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普通PR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F4296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全部变更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E4CF3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托管式持续集成环境静态检查、单测、构建、合同/Schema/哈希校验；不占NPU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EF8FA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全部通过；不得用自托管执行器直跑性能</w:t>
            </w:r>
          </w:p>
        </w:tc>
      </w:tr>
      <w:tr w14:paraId="38FFAB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3371D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评测请求门禁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A3C09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性能评测标签或发布请求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1F44A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鉴权签名、幂等、测试目标登记表、资源/磁盘/模型/数据预检、队列与独占锁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98B90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合同不完整或显式证据冲突即拒绝；资源占用保持等待</w:t>
            </w:r>
          </w:p>
        </w:tc>
      </w:tr>
      <w:tr w14:paraId="303F5B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7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6A974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结果门禁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39F01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独立评测服务执行完成</w:t>
            </w:r>
          </w:p>
        </w:tc>
        <w:tc>
          <w:tcPr>
            <w:tcW w:w="238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BD24E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校验运行环境来源记录、原始数据、重复试验记录、规定的中位数选择记录、签名和校验清单</w:t>
            </w:r>
          </w:p>
        </w:tc>
        <w:tc>
          <w:tcPr>
            <w:tcW w:w="277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3EB8A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sz w:val="21"/>
              </w:rPr>
              <w:t>只有验签通过的证据包可进入结果快照、项目网站以及合入或发布结论</w:t>
            </w:r>
          </w:p>
        </w:tc>
      </w:tr>
    </w:tbl>
    <w:p w14:paraId="09B0AB40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持续集成使用的最小正确性请求集应保持规模小、内容固定、可重复，并具有明确判定规则；按变更影响范围选择必要用例。该检查不执行并发爬坡、到达率搜索、稳态测量、洪峰注入、跨次统计或基线性能比较，也不以TTFT、TPOT、吞吐、SLO合规吞吐、显存高水位和设备利用率作为放行阈值。即使采集上述字段，也仅用于故障诊断，不形成性能结论。小模型和小样本仅验证路径正确性，不替代正式模型、正式数据和正式验收配置。</w:t>
      </w:r>
    </w:p>
    <w:p w14:paraId="59A6747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表4-15 专用测试机性能测试分级与触发条件</w:t>
      </w:r>
    </w:p>
    <w:tbl>
      <w:tblPr>
        <w:tblStyle w:val="17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037"/>
        <w:gridCol w:w="1755"/>
        <w:gridCol w:w="2262"/>
        <w:gridCol w:w="1614"/>
      </w:tblGrid>
      <w:tr w14:paraId="0933D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F46488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级别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91BD6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触发条件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082FA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执行范围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CD5583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执行要求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C0DF0E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结论用途</w:t>
            </w:r>
          </w:p>
        </w:tc>
      </w:tr>
      <w:tr w14:paraId="540A3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0E528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定向性能复测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C7C58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性能关键路径变化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4933F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仅受影响的已冻结测试目标/测试单元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E600F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独立评测服务独占资源；至少3次生命周期；完整保留失败记录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AD1EF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判断回归/收益</w:t>
            </w:r>
          </w:p>
        </w:tc>
      </w:tr>
      <w:tr w14:paraId="57275D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C434E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必须交付全量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2EB3D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版本发布、里程碑或正式验收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3E5C3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Qwen3.5-35B双卡的A1—A4；A2包含6个测试单元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6C3B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各项运行超时上限按表附-6和表附-7执行并写入配置清单；未取得验签结果不得放行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16F5A5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形成任务书结论</w:t>
            </w:r>
          </w:p>
        </w:tc>
      </w:tr>
      <w:tr w14:paraId="2271AA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C7AE4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额外交付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7416C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模型、资源、数据和资格化回执齐全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9235F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E1其他平台、E2 GLM 5.3 Flash与DeepSeek V4.1 Flash对应测试配置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1955A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满足准入条件后启用；失败不阻塞必须交付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CC8B7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亮点与能力边界</w:t>
            </w:r>
          </w:p>
        </w:tc>
      </w:tr>
      <w:tr w14:paraId="7D7D84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6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1F96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夜间工程回归健康线</w:t>
            </w:r>
          </w:p>
        </w:tc>
        <w:tc>
          <w:tcPr>
            <w:tcW w:w="113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DDD146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主分支定时任务</w:t>
            </w:r>
          </w:p>
        </w:tc>
        <w:tc>
          <w:tcPr>
            <w:tcW w:w="1843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D3A80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九项公共工程负载</w:t>
            </w:r>
          </w:p>
        </w:tc>
        <w:tc>
          <w:tcPr>
            <w:tcW w:w="2608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5CAAC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只做工程趋势；失败阻止结果快照和项目网站晋升</w:t>
            </w:r>
          </w:p>
        </w:tc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32565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不进入项目验收</w:t>
            </w:r>
          </w:p>
        </w:tc>
      </w:tr>
    </w:tbl>
    <w:p w14:paraId="7D9F8D36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独立评测服务统一管理评测卡，持续集成执行器不得直连设备或直接执行性能测试，也不得终止或重启其他任务。评测队列应支持幂等键、优先级与配额、取消与超时、心跳、审计日志、并发锁、磁盘/模型/数据预检、维护模式和紧急人工禁用。资源占用时保持等待状态且不得放行；失败、取消、超时或证据缺失均不通过。基础设施故障须保留原执行记录，并在资源恢复后完整重跑。</w:t>
      </w:r>
    </w:p>
    <w:p w14:paraId="6CF93BC3">
      <w:pPr>
        <w:keepLines/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普通代码变更通过持续集成的最小正确性检查后可进入代码评审。性能关键路径变更只复测受影响的固定测试配置；版本发布、里程碑和正式验收执行相应完整矩阵。人工操作仅用于选择受影响的固定测试配置，不替代固定配置执行、阈值判定和证据留存。</w:t>
      </w:r>
    </w:p>
    <w:p w14:paraId="30769E74">
      <w:pPr>
        <w:keepLines/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CI/CD与专用测试机的结论应严格隔离：CI/CD只给出“正确性检查通过/不通过/未执行”的状态；专用测试机按第2—5章给出性能、稳定性、扩展效率和验收结论。任何CI/CD运行中观察到的性能数值均不得写入正式验收结果，也不得替代专用测试机复测。</w:t>
      </w:r>
    </w:p>
    <w:p w14:paraId="471D0532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8" w:name="_Toc2793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4.6.9 横向比较限制与结果呈现规则</w:t>
      </w:r>
      <w:bookmarkEnd w:id="38"/>
    </w:p>
    <w:p w14:paraId="061105DF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为避免把不可比条件下的数值误读为优劣结论，本方案对必须交付和额外交付的全部结果适用表4-15a。违反本规则的报告不得签发。</w:t>
      </w:r>
    </w:p>
    <w:p w14:paraId="73C0843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表4-15a 比较边界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4304"/>
        <w:gridCol w:w="2461"/>
      </w:tblGrid>
      <w:tr w14:paraId="16E5BD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90A346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比较维度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6B796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允许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F1BB66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禁止</w:t>
            </w:r>
          </w:p>
        </w:tc>
      </w:tr>
      <w:tr w14:paraId="00B39F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BF84D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国产硬件平台之间（910B2与E1各平台）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6C2B1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同一平台内B0对B1纵向对照；各平台分章节独立出具结论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BBDE0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平台间性能、成本、能效排名或综合评分；“最优平台”表述；不同平台数值置于同表同列排序或同图并列比较</w:t>
            </w:r>
          </w:p>
        </w:tc>
      </w:tr>
      <w:tr w14:paraId="5E7BEB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7B0E0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模型规模之间（Qwen3.5-35B与400B级模型）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F4258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同一模型内B0对B1对照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FD932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35B与GLM 5.3 Flash/DeepSeek V4.1 Flash之间的互比、折算、外推</w:t>
            </w:r>
          </w:p>
        </w:tc>
      </w:tr>
      <w:tr w14:paraId="3073CC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AE414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部署拓扑之间（双卡、单机8卡、多机、统一/PD分离）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EEA5D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同拓扑B0对B1对照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40F75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不同拓扑之间的性能或单位token成本排序；跨拓扑“扩展效率”对比</w:t>
            </w:r>
          </w:p>
        </w:tc>
      </w:tr>
      <w:tr w14:paraId="7AEB6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E85D7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必须交付与额外交付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704DA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分章节单列，各自结论词独立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E3FB8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用额外交付结果解释、补偿或替代A1—A4结论</w:t>
            </w:r>
          </w:p>
        </w:tc>
      </w:tr>
      <w:tr w14:paraId="3D3DA1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CF516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报告呈现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33CCF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可并列陈述各配置“完成/未通过/未执行”状态及自身B0/B1收益；每个平台/模型/拓扑一节一表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2EDE9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跨配置的绝对数值汇总排序表；跨配置几何平均或加权综合指标</w:t>
            </w:r>
          </w:p>
        </w:tc>
      </w:tr>
    </w:tbl>
    <w:p w14:paraId="5950218D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表附-19增设“横向比较检查”项，由数据复核人在报告签发前逐项核对。</w:t>
      </w:r>
    </w:p>
    <w:p w14:paraId="51A9904C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39" w:name="_Toc30574"/>
      <w:bookmarkStart w:id="40" w:name="_Toc14000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4.7 本课题测试交付与第三方评测</w:t>
      </w:r>
      <w:bookmarkEnd w:id="39"/>
      <w:bookmarkEnd w:id="40"/>
    </w:p>
    <w:p w14:paraId="71118A60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41" w:name="_Toc21709"/>
      <w:bookmarkStart w:id="42" w:name="_Toc6600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4.7.1 本课题交付材料</w:t>
      </w:r>
      <w:bookmarkEnd w:id="41"/>
      <w:bookmarkEnd w:id="42"/>
    </w:p>
    <w:p w14:paraId="48F66BC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表4-16 本课题正式测试与验收交付材料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4524"/>
        <w:gridCol w:w="2164"/>
      </w:tblGrid>
      <w:tr w14:paraId="3091F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235BB0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材料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0753C6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主要内容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B17D1E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要求</w:t>
            </w:r>
          </w:p>
        </w:tc>
      </w:tr>
      <w:tr w14:paraId="21B99B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CDF6E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测试方案正式文本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030E8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必须/额外交付模型与九类负载绑定、A1—A4合同、阈值、32K口径、A3/A4测量区间与SLO、横向比较限制和第三方范围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C44B8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本方案与同版本测试目标登记表配套执行</w:t>
            </w:r>
          </w:p>
        </w:tc>
      </w:tr>
      <w:tr w14:paraId="324C6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7E093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固定测试资产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B718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BF16/W8A8模型manifest、量化配置与质量回执、数据manifest、oracle/parser、绝对SLO、有效算量规范和成本规则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0BF90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由课题组形成版本化测试资产并随测试包交付；第三方逐项核验清单与本方案一致后执行</w:t>
            </w:r>
          </w:p>
        </w:tc>
      </w:tr>
      <w:tr w14:paraId="5AE8C9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5A40F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运行绑定包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89B8D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B1 exact refs、两侧OCI摘要、配置校验值、实际CLI、环境与设备回执、到达序列和签名身份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93FAB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正式执行前形成；字段完整且校验通过后启用对应正式测试目标</w:t>
            </w:r>
          </w:p>
        </w:tc>
      </w:tr>
      <w:tr w14:paraId="7533DA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F6944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原始证据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0120F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原始请求与聚合结果、服务端和测试端日志、启动日志、来源记录、环境记录、输入记录、重复试验和失败记录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8014F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保留完整分母、时间戳、配置校验值和文件校验值；不得删除失败记录</w:t>
            </w:r>
          </w:p>
        </w:tc>
      </w:tr>
      <w:tr w14:paraId="20956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44625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验签通过的证据包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CC297D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规定的中位数选择记录、签名、公钥ID、校验清单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6740A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验签通过后才能进入报告/结果快照和项目网站</w:t>
            </w:r>
          </w:p>
        </w:tc>
      </w:tr>
      <w:tr w14:paraId="1E43AD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165EA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正式报告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5C003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A1—A4逐项方法、结果、偏差、复测、结论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AFDCA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任务书结论单独成章；健康线和宣传数字隔离</w:t>
            </w:r>
          </w:p>
        </w:tc>
      </w:tr>
      <w:tr w14:paraId="0A67CB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71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16886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额外交付附录</w:t>
            </w:r>
          </w:p>
        </w:tc>
        <w:tc>
          <w:tcPr>
            <w:tcW w:w="5159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CB90A9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hint="eastAsia" w:ascii="Times New Roman" w:hAnsi="Times New Roman" w:eastAsia="宋体"/>
                <w:b w:val="0"/>
                <w:sz w:val="21"/>
                <w:lang w:eastAsia="zh"/>
              </w:rPr>
              <w:t>E1各平台、E2各模型/拓扑实际完成项（逐平台、逐模型、逐拓扑单列）</w:t>
            </w:r>
          </w:p>
        </w:tc>
        <w:tc>
          <w:tcPr>
            <w:tcW w:w="2494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1E4F5A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未执行不写成能力；不得替代必交</w:t>
            </w:r>
          </w:p>
        </w:tc>
      </w:tr>
    </w:tbl>
    <w:p w14:paraId="0B7A9D1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2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43" w:name="_Toc21289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4.7.2 第三方执行流程</w:t>
      </w:r>
      <w:bookmarkEnd w:id="43"/>
    </w:p>
    <w:p w14:paraId="79EA292A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第三方按表附-10至表附-19执行：接收并校验V5.4测试包、资源隔离、模型和数据资产矩阵核验、B0/B1镜像与源码核验、配置生成与逐字段比较、连通性检查、P0全量对照、A1、A2六个执行单元及A2-V适用性检查、A3、A4、结果复算、证据包签名和报告签发。连通性检查不进入统计。不得搜索参数、比较参数组合、根据结果更换profile、dataset_id、test_tier或data_profile_id，也不得删除失败或用其他精度替代必测线。</w:t>
      </w:r>
    </w:p>
    <w:p w14:paraId="273A22FA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200" w:after="160" w:line="560" w:lineRule="exact"/>
        <w:jc w:val="both"/>
        <w:textAlignment w:val="baseline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44" w:name="_Toc32056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5 测试风险分析</w:t>
      </w:r>
      <w:bookmarkEnd w:id="44"/>
    </w:p>
    <w:p w14:paraId="7C5C87E4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正式测试开始后，测试类别、测试配置、芯片、模型、精度、拓扑、基准软件、数据、负载、SLO、启动参数合同、有效算量规范、部署容量清单或全系统成本口径发生变化时，应停止受影响测试，发布新版本方案并完整复测。任何性能相关启动参数变化均产生新的配置标识和参数校验值；旧结果不得与新配置合并。可能改变A1—A4或能力结论的偏差不得豁免。</w:t>
      </w:r>
    </w:p>
    <w:p w14:paraId="10EAC794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本版新增的主要风险及应对如下：</w:t>
      </w:r>
    </w:p>
    <w:p w14:paraId="775E32B0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表5-1 风险与应对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4035"/>
        <w:gridCol w:w="2474"/>
      </w:tblGrid>
      <w:tr w14:paraId="28E09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664FE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5E97FB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影响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1E785A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21"/>
              </w:rPr>
              <w:t>应对</w:t>
            </w:r>
          </w:p>
        </w:tc>
      </w:tr>
      <w:tr w14:paraId="12313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D801B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Qwen3.5-35B-A3B代表模型口径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686563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浦江实验室已确定本次验收使用Qwen3.5-35B-A3B双卡（TP=2）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0146B8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正文、配置表、执行包和报告统一使用35B口径，不设其他必须交付代表模型</w:t>
            </w:r>
          </w:p>
        </w:tc>
      </w:tr>
      <w:tr w14:paraId="60C66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1E3411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35B基线精度工件无法单卡部署，必须双卡TP=2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333FEE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A1“单芯片有效算力”口径需折算；通信开销影响MFU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59A227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按本方案以双卡原始计数折算单芯片均值，保留通信开销和双卡原始证据，A1阈值按表附-8执行</w:t>
            </w:r>
          </w:p>
        </w:tc>
      </w:tr>
      <w:tr w14:paraId="23802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5340FC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A3/A4的SLO与窗口参数为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4676D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阈值未确认前无法正式判定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8FC1FF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甲方与第三方确认后冻结；未冻结时相关单元记CANNOT_DETERMINE</w:t>
            </w:r>
          </w:p>
        </w:tc>
      </w:tr>
      <w:tr w14:paraId="7DEA10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1A1740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E1平台的引擎/运行时与B0/B1定义不一致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F417A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同平台B0/B1对照无法建立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4219F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逐平台先冻结B0/B1身份；不能建立对照的平台仅形成可部署性结论</w:t>
            </w:r>
          </w:p>
        </w:tc>
      </w:tr>
      <w:tr w14:paraId="60BF7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51E582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E2 400B级模型资源与适配不足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865C34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无法在固定拓扑部署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BA5D1B">
            <w:pPr>
              <w:keepNext w:val="0"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1"/>
              </w:rPr>
              <w:t>容量门禁不通过即记未执行，不降级、不外推</w:t>
            </w:r>
          </w:p>
        </w:tc>
      </w:tr>
    </w:tbl>
    <w:p w14:paraId="04D62314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200" w:after="160" w:line="560" w:lineRule="exact"/>
        <w:jc w:val="both"/>
        <w:textAlignment w:val="baseline"/>
        <w:outlineLvl w:val="0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45" w:name="_Toc16868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6 测试工作安排</w:t>
      </w:r>
      <w:bookmarkEnd w:id="45"/>
    </w:p>
    <w:p w14:paraId="260C6373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46" w:name="_Toc6919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6.1 测试进度</w:t>
      </w:r>
      <w:bookmarkEnd w:id="46"/>
    </w:p>
    <w:p w14:paraId="444FFA8F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表6-1 测试工作阶段安排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1900"/>
        <w:gridCol w:w="3450"/>
        <w:gridCol w:w="1750"/>
      </w:tblGrid>
      <w:tr w14:paraId="6DDAAE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4C1A3D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阶段</w:t>
            </w:r>
          </w:p>
        </w:tc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976B47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任务书目标</w:t>
            </w:r>
          </w:p>
        </w:tc>
        <w:tc>
          <w:tcPr>
            <w:tcW w:w="3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FB69D1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测试工作</w:t>
            </w:r>
          </w:p>
        </w:tc>
        <w:tc>
          <w:tcPr>
            <w:tcW w:w="17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176DC4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主要产物</w:t>
            </w:r>
          </w:p>
        </w:tc>
      </w:tr>
      <w:tr w14:paraId="543211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71BE7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2026年6月—11月</w:t>
            </w:r>
          </w:p>
        </w:tc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A42DE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单机单卡原型可测可比；单芯片有效算力达到理论峰值50%以上</w:t>
            </w:r>
          </w:p>
        </w:tc>
        <w:tc>
          <w:tcPr>
            <w:tcW w:w="3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81AE9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形成基准配置、指标口径、基线脚本和初始数据；完成单芯片阶段测试</w:t>
            </w:r>
          </w:p>
        </w:tc>
        <w:tc>
          <w:tcPr>
            <w:tcW w:w="17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13AF1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调研报告、指标/脚本说明、基线数据、架构报告和单机单卡原型</w:t>
            </w:r>
          </w:p>
        </w:tc>
      </w:tr>
      <w:tr w14:paraId="0DB6F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C50301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2026年12月—2027年5月</w:t>
            </w:r>
          </w:p>
        </w:tc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110AB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单一业务场景单位token成本阶段性降低10%以上</w:t>
            </w:r>
          </w:p>
        </w:tc>
        <w:tc>
          <w:tcPr>
            <w:tcW w:w="3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3ED2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开展单芯片优化回归和企业业务场景成本测试</w:t>
            </w:r>
          </w:p>
        </w:tc>
        <w:tc>
          <w:tcPr>
            <w:tcW w:w="17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E14F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单芯片优化阶段报告、量化/稀疏联动工具原型和回归证据</w:t>
            </w:r>
          </w:p>
        </w:tc>
      </w:tr>
      <w:tr w14:paraId="51A4D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376D4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2027年6月—11月</w:t>
            </w:r>
          </w:p>
        </w:tc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67CE8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KV池化/分层原型；16K长上下文稳定验证</w:t>
            </w:r>
          </w:p>
        </w:tc>
        <w:tc>
          <w:tcPr>
            <w:tcW w:w="3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6BD2F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完成KV复用和长上下文阶段测试，固化可复测脚本</w:t>
            </w:r>
          </w:p>
        </w:tc>
        <w:tc>
          <w:tcPr>
            <w:tcW w:w="17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88014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KV池化/分层原型、长上下文测试大纲和脚本</w:t>
            </w:r>
          </w:p>
        </w:tc>
      </w:tr>
      <w:tr w14:paraId="3AD42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40A5F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2027年12月—2028年5月</w:t>
            </w:r>
          </w:p>
        </w:tc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C74F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多租户压测闭环；第三方材料准备</w:t>
            </w:r>
          </w:p>
        </w:tc>
        <w:tc>
          <w:tcPr>
            <w:tcW w:w="3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90C97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完成多租户、典型场景吞吐/时延和成本预验收</w:t>
            </w:r>
          </w:p>
        </w:tc>
        <w:tc>
          <w:tcPr>
            <w:tcW w:w="17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8E36A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多租户实验记录、第三方测试材料和问题整改记录</w:t>
            </w:r>
          </w:p>
        </w:tc>
      </w:tr>
      <w:tr w14:paraId="41E0F5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E1306E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2028年6月—11月</w:t>
            </w:r>
          </w:p>
        </w:tc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0BE16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本项目四项最终指标及第三方验收</w:t>
            </w:r>
          </w:p>
        </w:tc>
        <w:tc>
          <w:tcPr>
            <w:tcW w:w="3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D1EBA2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执行A1-A4正式测试、复测和示范部署验证</w:t>
            </w:r>
          </w:p>
        </w:tc>
        <w:tc>
          <w:tcPr>
            <w:tcW w:w="17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494B78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可发布软件栈、第三方测试报告、最终科技报告/自评价、示范部署案例与运维指南/技术规范</w:t>
            </w:r>
          </w:p>
        </w:tc>
      </w:tr>
    </w:tbl>
    <w:p w14:paraId="6E282E0D">
      <w:pPr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 w:val="0"/>
        <w:snapToGrid w:val="0"/>
        <w:spacing w:before="40" w:line="560" w:lineRule="exact"/>
        <w:jc w:val="both"/>
        <w:textAlignment w:val="baseline"/>
        <w:outlineLvl w:val="1"/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</w:pPr>
      <w:bookmarkStart w:id="47" w:name="_Toc2841"/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  <w:lang w:val="en-US" w:eastAsia="zh-CN" w:bidi="ar-SA"/>
        </w:rPr>
        <w:t>6.2 人员与职责</w:t>
      </w:r>
      <w:bookmarkEnd w:id="47"/>
    </w:p>
    <w:p w14:paraId="167BA4BB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表6-2 测试职责</w:t>
      </w:r>
    </w:p>
    <w:tbl>
      <w:tblPr>
        <w:tblStyle w:val="17"/>
        <w:tblW w:w="83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4450"/>
        <w:gridCol w:w="2500"/>
      </w:tblGrid>
      <w:tr w14:paraId="187DC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6B6517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角色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11DDF3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职责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7C8EC3">
            <w:pPr>
              <w:keepNext/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配置与结论管理</w:t>
            </w:r>
          </w:p>
        </w:tc>
      </w:tr>
      <w:tr w14:paraId="4C7A6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3D990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甲方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451A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发布测试方案与任务书口径；接收正式测试报告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5D184F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以本方案明确35B代表模型口径、32K计算方式、A3/A4测量区间与SLO、算力和成本口径；接收按本方案形成的验收材料</w:t>
            </w:r>
          </w:p>
        </w:tc>
      </w:tr>
      <w:tr w14:paraId="3B669E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03B394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华中科技大学课题组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F0CDF2D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维护测试资产、固定配置、数据、判定程序和版本库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DA93D7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发布模型/数据manifest、oracle/parser、测试目标登记表和配置版本</w:t>
            </w:r>
          </w:p>
        </w:tc>
      </w:tr>
      <w:tr w14:paraId="343503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E64C46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派欧云计算（上海）有限公司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090FA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提供授权国产芯片环境、企业数据和业务场景，保障部署运行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AADEE0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登记数据用途、资源条件、资产价格与能耗依据</w:t>
            </w:r>
          </w:p>
        </w:tc>
      </w:tr>
      <w:tr w14:paraId="39B8DA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CE7493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第三方测试机构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5B2649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按本方案与config version独立执行、复算和出具报告；依照表附-10至表附-19逐步留痕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D8942A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核验BF16/W8A8工件、profile校验值和签名证据包，形成A1—A4正式结论；不改变固定参数、不替换工件</w:t>
            </w:r>
          </w:p>
        </w:tc>
      </w:tr>
      <w:tr w14:paraId="13EDEF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9CEF3C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数据与安全负责人</w:t>
            </w:r>
          </w:p>
        </w:tc>
        <w:tc>
          <w:tcPr>
            <w:tcW w:w="445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928A0B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执行授权、脱敏、访问控制、留存和删除管理</w:t>
            </w:r>
          </w:p>
        </w:tc>
        <w:tc>
          <w:tcPr>
            <w:tcW w:w="2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C69925">
            <w:pPr>
              <w:spacing w:before="0" w:after="0" w:line="320" w:lineRule="exact"/>
              <w:ind w:firstLine="0"/>
              <w:jc w:val="both"/>
            </w:pPr>
            <w:r>
              <w:rPr>
                <w:rFonts w:ascii="Times New Roman" w:hAnsi="Times New Roman" w:eastAsia="宋体" w:cs="Times New Roman"/>
                <w:sz w:val="21"/>
              </w:rPr>
              <w:t>确保企业数据不超范围使用和披露</w:t>
            </w:r>
          </w:p>
        </w:tc>
      </w:tr>
    </w:tbl>
    <w:p w14:paraId="2A06A095">
      <w:pPr>
        <w:spacing w:line="20" w:lineRule="exact"/>
        <w:jc w:val="both"/>
      </w:pPr>
    </w:p>
    <w:p w14:paraId="457202F3">
      <w:pPr>
        <w:jc w:val="both"/>
      </w:pPr>
      <w:r>
        <w:br w:type="page"/>
      </w:r>
    </w:p>
    <w:p w14:paraId="58A58B92">
      <w:pPr>
        <w:keepNext/>
        <w:widowControl/>
        <w:spacing w:before="200" w:after="160" w:line="560" w:lineRule="exact"/>
        <w:ind w:left="0" w:right="0" w:firstLine="0"/>
        <w:jc w:val="both"/>
        <w:outlineLvl w:val="0"/>
      </w:pPr>
      <w:bookmarkStart w:id="48" w:name="_Toc13735"/>
      <w:r>
        <w:rPr>
          <w:rFonts w:ascii="Times New Roman" w:hAnsi="Times New Roman" w:eastAsia="黑体"/>
          <w:b/>
          <w:sz w:val="28"/>
        </w:rPr>
        <w:t>附：正式测试配置冻结表</w:t>
      </w:r>
      <w:bookmarkEnd w:id="48"/>
    </w:p>
    <w:p w14:paraId="25BC71B5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附表与正文具有同等约束力，是Qwen3.5-35B双卡P0及A1—A4生成启动命令、客户端请求和证据包的唯一参数来源。P0及A1—A4必测线固定为B0-BF16与B1-BF16；W8A8扩展使用独立profile，不影响必测线结论。提交SHA、镜像摘要、物理设备号、comparison_id、config_id、实际命令和运行回执纳入证据包。任何固定字段缺失、出现表外差别、图执行未生效或生效值不符，均按fail-closed拒绝测量。</w:t>
      </w:r>
    </w:p>
    <w:p w14:paraId="0A9537A9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表附-1 版本角色与比较关系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2600"/>
        <w:gridCol w:w="4300"/>
      </w:tblGrid>
      <w:tr w14:paraId="107D84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D1EA1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F577D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固定值</w:t>
            </w:r>
          </w:p>
        </w:tc>
        <w:tc>
          <w:tcPr>
            <w:tcW w:w="4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9B225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执行约束</w:t>
            </w:r>
          </w:p>
        </w:tc>
      </w:tr>
      <w:tr w14:paraId="3D812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E193A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baseline_role</w:t>
            </w:r>
          </w:p>
        </w:tc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350E3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</w:t>
            </w:r>
          </w:p>
        </w:tc>
        <w:tc>
          <w:tcPr>
            <w:tcW w:w="4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A88C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upstream vLLM 0.18基准；core=bcf2be96120005e9aea171927f85055a6a5c0cf6；plugin=e18643f8a4d5bd9990727654318ad069ea0b56e2</w:t>
            </w:r>
          </w:p>
        </w:tc>
      </w:tr>
      <w:tr w14:paraId="0342C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32DBB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candidate_role</w:t>
            </w:r>
          </w:p>
        </w:tc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043E3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B1</w:t>
            </w:r>
          </w:p>
        </w:tc>
        <w:tc>
          <w:tcPr>
            <w:tcW w:w="4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A694F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测试开始时冻结的vLLM-HUST最终交付推理引擎；exact core/plugin提交和OCI RepoDigest（或离线OCI内容摘要）由当次正式发布manifest绑定</w:t>
            </w:r>
          </w:p>
        </w:tc>
      </w:tr>
      <w:tr w14:paraId="7D0D00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747D2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comparison</w:t>
            </w:r>
          </w:p>
        </w:tc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42185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B0_vs_B1</w:t>
            </w:r>
          </w:p>
        </w:tc>
        <w:tc>
          <w:tcPr>
            <w:tcW w:w="4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8D8E9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必测比较为B0-BF16对B1-BF16。P0及A2—A4使用相同模型BF16工件、请求和服务配置。W8A8扩展包括B1-W8A8相对B1-BF16的量化增量、B0原生兼容时的同量化对照，以及B1-W8A8相对B0-BF16的端到端系统结果；三类结果分别命名、分别解释，不相互替代。</w:t>
            </w:r>
          </w:p>
        </w:tc>
      </w:tr>
      <w:tr w14:paraId="31EDD9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FB962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禁止角色</w:t>
            </w:r>
          </w:p>
        </w:tc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AF1F5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第三档编号、关闭优化版本、诊断基线</w:t>
            </w:r>
          </w:p>
        </w:tc>
        <w:tc>
          <w:tcPr>
            <w:tcW w:w="4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77D4F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不得进入registry、CI、证据包、报告或验收结论</w:t>
            </w:r>
          </w:p>
        </w:tc>
      </w:tr>
    </w:tbl>
    <w:p w14:paraId="15FE061B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表附-2 A1—A4共同服务端参数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3097"/>
        <w:gridCol w:w="3593"/>
      </w:tblGrid>
      <w:tr w14:paraId="6EAAE0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E625B9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参数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A2766D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固定值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8A5BA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生效校验</w:t>
            </w:r>
          </w:p>
        </w:tc>
      </w:tr>
      <w:tr w14:paraId="2DF66E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4C6452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model_family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18EDDE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Qwen3.5-35B（Dense/MoE变体以冻结清单为准）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877C66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验收前绑定exact model revision与完整权重清单</w:t>
            </w:r>
          </w:p>
        </w:tc>
      </w:tr>
      <w:tr w14:paraId="4649CE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B27D3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served_model_name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1A0EC5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A1/P0/A2—A4 BF16均使用qwen3.5-35b-fp16；W8A8扩展使用qwen3.5-35b-w8a8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71B4BB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固定API逻辑名，不以本地路径作服务名</w:t>
            </w:r>
          </w:p>
        </w:tc>
      </w:tr>
      <w:tr w14:paraId="74BC12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B3454F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api_server_count / protocol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AAE540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 / openai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908FD4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A1使用/v1/completions；A2/A3/A4使用/v1/chat/completions</w:t>
            </w:r>
          </w:p>
        </w:tc>
      </w:tr>
      <w:tr w14:paraId="7066F1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D3B803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listen address / port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DD6694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host=127.0.0.1；port=运行时分配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DFA64C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端口进入receipt但不构成性能分组维度</w:t>
            </w:r>
          </w:p>
        </w:tc>
      </w:tr>
      <w:tr w14:paraId="38B6D9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1B0DFE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frontend workers / logs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9B1D94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uvicorn_workers=1；log_level=INFO；access_log=false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E7C6AC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请求原文由client证据保存，禁用逐请求访问日志以固定开销</w:t>
            </w:r>
          </w:p>
        </w:tc>
      </w:tr>
      <w:tr w14:paraId="714CCC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54DE93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service timeouts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381EDA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startup_health_timeout=900s；health_interval=5s；graceful_shutdown_timeout=120s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022360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超时即保留失败并终止本生命周期</w:t>
            </w:r>
          </w:p>
        </w:tc>
      </w:tr>
      <w:tr w14:paraId="64BE89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43AF7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dtype / quantization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CA268C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必测profile=基线dtype（bfloat16，冻结后B0/B1一致）/null；W8A8扩展=基线dtype/ascend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2AB000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A1=基线dtype/null；A2—A4扩展profile=基线dtype/ascend；不得继承默认值</w:t>
            </w:r>
          </w:p>
        </w:tc>
      </w:tr>
      <w:tr w14:paraId="339D15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4E61D0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kv_cache_dtype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CD6538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requested=auto；effective=与基线dtype一致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5DBA53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请求值与实际值均入receipt，实际与基线dtype不一致即拒绝</w:t>
            </w:r>
          </w:p>
        </w:tc>
      </w:tr>
      <w:tr w14:paraId="29ECAD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DDEAA3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block_size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D24EA4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128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26F2FE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启动receipt必须显示128</w:t>
            </w:r>
          </w:p>
        </w:tc>
      </w:tr>
      <w:tr w14:paraId="2246B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D52346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TP / PP / DP / EP / DCP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CDA3FA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2 / 1 / 1 / 与B0实际生效回执一致 / 1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3CBBC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B0/B1逐项一致；EP实际值纳入表附G-1的单一B0配置证据门禁</w:t>
            </w:r>
          </w:p>
        </w:tc>
      </w:tr>
      <w:tr w14:paraId="21548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A6548E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serving_mode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10AACA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unified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890F92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pd_disaggregation=false</w:t>
            </w:r>
          </w:p>
        </w:tc>
      </w:tr>
      <w:tr w14:paraId="50F8C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DFC6B5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replicas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94BEB0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server=1；prefill_only=0；decode_only=0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5CC329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pd_ratio=not_applicable</w:t>
            </w:r>
          </w:p>
        </w:tc>
      </w:tr>
      <w:tr w14:paraId="298FBB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741D4C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speculative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F3F52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false；model=null；tokens=0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24D32F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必须交付A1—A4显式关闭；额外交付在各自profile中独立启用</w:t>
            </w:r>
          </w:p>
        </w:tc>
      </w:tr>
      <w:tr w14:paraId="6B7817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B420E6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scheduling_policy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551C92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fcfs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61CB66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禁止执行端改调度策略</w:t>
            </w:r>
          </w:p>
        </w:tc>
      </w:tr>
      <w:tr w14:paraId="11C5C9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B6761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distributed_executor_backend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DDA03A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mp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16AFEF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单机双卡固定</w:t>
            </w:r>
          </w:p>
        </w:tc>
      </w:tr>
      <w:tr w14:paraId="6B5BFF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1F1E2B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dcp_comm_backend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01A862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ag_rs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EB4915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即使DCP=1也显式记账</w:t>
            </w:r>
          </w:p>
        </w:tc>
      </w:tr>
      <w:tr w14:paraId="04D2C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7FA26B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disable_custom_all_reduce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D7B510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与B0实际生效回执一致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1FE864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B0/B1一致，显式写入启动命令并保存startup receipt</w:t>
            </w:r>
          </w:p>
        </w:tc>
      </w:tr>
      <w:tr w14:paraId="7C5D9B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F04D69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cpu_binding_policy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20360D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topo_affinity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CD01D6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OMP_NUM_THREADS=1；根据所分配NPU的NUMA节点生成CPU核表并写入startup receipt；禁止扫描线程数或跨NUMA手工改核</w:t>
            </w:r>
          </w:p>
        </w:tc>
      </w:tr>
      <w:tr w14:paraId="41047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F4634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compile_mode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FB215E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A1：B0/B1=none；A2—A4：B0/B1=vllm_compile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5C210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两侧显式相同；不得采用软件默认值</w:t>
            </w:r>
          </w:p>
        </w:tc>
      </w:tr>
      <w:tr w14:paraId="0EEEAE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6FB5CB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enforce_eager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76830B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A1：B0/B1=true；A2—A4：B0/B1=false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6C9DE7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A2—A4任一侧不得自动回退eager</w:t>
            </w:r>
          </w:p>
        </w:tc>
      </w:tr>
      <w:tr w14:paraId="45F5FE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47083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cudagraph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A5A4C3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A1：B0/B1 mode=none、warmups=1，实际图捕获次数必须为0；A2—A4：B0/B1 mode=FULL_DECODE_ONLY、warmups=1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88CEA5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两侧capture sizes按表附-3相同固定；实际捕获、命中和回退进入证据包</w:t>
            </w:r>
          </w:p>
        </w:tc>
      </w:tr>
      <w:tr w14:paraId="145672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E71D73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tokenizer_mode / trust_remote_code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8B277A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auto / false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5C5CDF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实际tokenizer revision由模型清单绑定</w:t>
            </w:r>
          </w:p>
        </w:tc>
      </w:tr>
      <w:tr w14:paraId="3E6E4D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D16DEC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load_format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DEE19F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auto；effective=safetensors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58CA05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effective非safetensors即拒绝</w:t>
            </w:r>
          </w:p>
        </w:tc>
      </w:tr>
      <w:tr w14:paraId="7748F2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5D7D06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engine_seed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B0FE4D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26EDFD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服务端固定种子</w:t>
            </w:r>
          </w:p>
        </w:tc>
      </w:tr>
      <w:tr w14:paraId="50BDA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33B16DF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LoRA / prompt adapter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80624B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false / false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956384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正式验收禁用</w:t>
            </w:r>
          </w:p>
        </w:tc>
      </w:tr>
      <w:tr w14:paraId="78DFF2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7E8D01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KV offload / swap / CPU offload</w:t>
            </w:r>
          </w:p>
        </w:tc>
        <w:tc>
          <w:tcPr>
            <w:tcW w:w="3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E713A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false / 0 GiB / 0 GiB</w:t>
            </w:r>
          </w:p>
        </w:tc>
        <w:tc>
          <w:tcPr>
            <w:tcW w:w="3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6739A2">
            <w:pPr>
              <w:spacing w:before="0" w:after="0" w:line="240" w:lineRule="auto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禁止隐式主机侧换出</w:t>
            </w:r>
          </w:p>
        </w:tc>
      </w:tr>
    </w:tbl>
    <w:p w14:paraId="2A45778C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表附-3 工作负载专属服务端配置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2"/>
        <w:gridCol w:w="3859"/>
        <w:gridCol w:w="2031"/>
      </w:tblGrid>
      <w:tr w14:paraId="62EE25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16ED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profile_id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8B453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固定覆盖值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126E1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执行说明</w:t>
            </w:r>
          </w:p>
        </w:tc>
      </w:tr>
      <w:tr w14:paraId="3B6D48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4831F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A1-BF16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24FB5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rtifact=BF16；dtype=基线dtype；quantization=null；max_model_len=32768；gmu=0.85；max_num_seqs=32；max_num_batched_tokens=32768；prefix=false；chunked=false；speculative=false；enforce_eager=false；cudagraph=none；cudagraph_num_of_warmups=1；实际图捕获次数=0；endpoint=/v1/completions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2E31E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主形状4096×8→1；辅助1024×32→1、8192×4→1；ignore_eos=true为请求字段</w:t>
            </w:r>
          </w:p>
        </w:tc>
      </w:tr>
      <w:tr w14:paraId="33E425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7564F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A2-DIALOGUE-&lt;PRECISION&gt;-PC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0484D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PRECISION=BF16或W8A8；gmu=0.85；maxseq=32；maxbatched=16384；prefix=true；chunked=true；speculative=false；共同图配置；capture_sizes=[1,2,4,8,16,32]；endpoint=/v1/chat/completions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B7B0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DIALOGUE-PUBLIC完整指定分片；P0固定4.0 RPS全量执行；容量阶段使用相同有序请求池；保存data_profile_id、prefix cache及图捕获/命中/回退证据</w:t>
            </w:r>
          </w:p>
        </w:tc>
      </w:tr>
      <w:tr w14:paraId="536084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8B367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A2-TOOL-&lt;PRECISION&gt;-PC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D7EA5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PRECISION=BF16或W8A8；gmu=0.85；maxseq=16；maxbatched=8192；prefix=true；chunked=true；speculative=false；共同图配置；capture_sizes=[1,2,4,8,16]；auto_tool_choice=true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095B3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真实tools、tool_choice=auto、parallel_tool_calls=true；两侧保存工具解析、协议结束及图执行证据</w:t>
            </w:r>
          </w:p>
        </w:tc>
      </w:tr>
      <w:tr w14:paraId="5ABE0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FB579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A2-REASON-&lt;PRECISION&gt;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2DB0A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PRECISION=BF16或W8A8；gmu=0.85；maxseq=16；maxbatched=8192；prefix=false；chunked=true；speculative=false；共同图配置；capture_sizes=[1,2,4,8,16]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11CB2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长输出推理；固定答案抽取器；两侧保存图执行与质量证据</w:t>
            </w:r>
          </w:p>
        </w:tc>
      </w:tr>
      <w:tr w14:paraId="4391D4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C74C41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A2-STRUCT-&lt;PRECISION&gt;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A5AEC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PRECISION=BF16或W8A8；gmu=0.85；maxseq=16；maxbatched=8192；prefix=false；chunked=true；speculative=false；共同图配置；capture_sizes=[1,2,4,8,16]；backend=xgrammar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D062F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逐case发送JSON Schema；两侧保存Schema、wire request、解析结果及图执行证据</w:t>
            </w:r>
          </w:p>
        </w:tc>
      </w:tr>
      <w:tr w14:paraId="48E44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4783C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A2-LONG-&lt;PRECISION&gt;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58B83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PRECISION=BF16或W8A8；gmu=0.85；maxseq=4；maxbatched=16384；prefix=false；chunked=true；speculative=false；共同图配置；capture_sizes=[1,2,4]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8D810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16×8192+512、16×16384+1024；分别报告Prefill TTFT、Decode TPOT、容量和两侧图命中</w:t>
            </w:r>
          </w:p>
        </w:tc>
      </w:tr>
      <w:tr w14:paraId="41346B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0" w:type="dxa"/>
          </w:tcPr>
          <w:p w14:paraId="3BB6EB05">
            <w:pPr>
              <w:jc w:val="both"/>
            </w:pPr>
            <w:r>
              <w:rPr>
                <w:sz w:val="18"/>
              </w:rPr>
              <w:t>A2-CODE-&lt;PRECISION&gt;</w:t>
            </w:r>
          </w:p>
        </w:tc>
        <w:tc>
          <w:tcPr>
            <w:tcW w:w="4609" w:type="dxa"/>
          </w:tcPr>
          <w:p w14:paraId="01F4633F">
            <w:pPr>
              <w:jc w:val="both"/>
            </w:pPr>
            <w:r>
              <w:rPr>
                <w:sz w:val="18"/>
              </w:rPr>
              <w:t>PRECISION=BF16或W8A8；gmu=0.85；maxseq=8；maxbatched=8192；prefix=false；chunked=true；speculative=false；共同图配置；capture_sizes=[1,2,4,8]；endpoint=/v1/chat/completions</w:t>
            </w:r>
          </w:p>
        </w:tc>
        <w:tc>
          <w:tcPr>
            <w:tcW w:w="2221" w:type="dxa"/>
          </w:tcPr>
          <w:p w14:paraId="4817B97B">
            <w:pPr>
              <w:jc w:val="both"/>
            </w:pPr>
            <w:r>
              <w:rPr>
                <w:sz w:val="18"/>
              </w:rPr>
              <w:t>CODE-GROUP完整冻结请求；closed-loop并发8；使用冻结编译/单测/官方scorer；保存逐例代码、编译、测试、时延、token及图执行证据</w:t>
            </w:r>
          </w:p>
        </w:tc>
      </w:tr>
      <w:tr w14:paraId="196B04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0" w:type="dxa"/>
          </w:tcPr>
          <w:p w14:paraId="7281AD90">
            <w:pPr>
              <w:jc w:val="both"/>
            </w:pPr>
            <w:r>
              <w:rPr>
                <w:sz w:val="18"/>
              </w:rPr>
              <w:t>A2-SWE-PREFIX-&lt;PRECISION&gt;-PC</w:t>
            </w:r>
          </w:p>
        </w:tc>
        <w:tc>
          <w:tcPr>
            <w:tcW w:w="4609" w:type="dxa"/>
          </w:tcPr>
          <w:p w14:paraId="02C5034A">
            <w:pPr>
              <w:jc w:val="both"/>
            </w:pPr>
            <w:r>
              <w:rPr>
                <w:sz w:val="18"/>
              </w:rPr>
              <w:t>本版不启用swe-prefix-reuse正式target；后续启用时必须发布新版本，显式固化轨迹池、prepared文件、并发C、测量时长、max_model_len、max_num_seqs、max_num_batched_tokens和capture sizes</w:t>
            </w:r>
          </w:p>
        </w:tc>
        <w:tc>
          <w:tcPr>
            <w:tcW w:w="2221" w:type="dxa"/>
          </w:tcPr>
          <w:p w14:paraId="6A2EFA0E">
            <w:pPr>
              <w:jc w:val="both"/>
            </w:pPr>
            <w:r>
              <w:rPr>
                <w:sz w:val="18"/>
              </w:rPr>
              <w:t>未启用记为未执行，不计入A1—A4硬门槛，不阻塞必须交付</w:t>
            </w:r>
          </w:p>
        </w:tc>
      </w:tr>
      <w:tr w14:paraId="0B102B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D9E26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A3-32K-&lt;PRECISION&gt;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7AD62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PRECISION=BF16或W8A8；gmu=0.85；maxseq=1；maxbatched=16384；prefix=false；chunked=true；speculative=false；共同图配置；capture_sizes=[1]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5B997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总上下文32768=30720+2048；ignore_eos=true；两侧30分钟内不得图回退或新增捕获</w:t>
            </w:r>
          </w:p>
        </w:tc>
      </w:tr>
      <w:tr w14:paraId="3A1A40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0C9C6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A4-MT-&lt;PRECISION&gt;-PC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8D001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PRECISION=BF16或W8A8；gmu=0.85；maxseq=16；maxbatched=16384；prefix=true；chunked=true；speculative=false；共同图配置；capture_sizes=[1,2,4,8,16]；auto_tool_choice=true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533F1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五租户共享单一服务；工具租户发送tools；代码租户使用冻结scorer；两侧保存逐租户图命中、回退、SLO、质量和公平性证据</w:t>
            </w:r>
          </w:p>
        </w:tc>
      </w:tr>
      <w:tr w14:paraId="00D4BD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4E2E8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共同拓扑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FC5C7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TP=2；PP=1；DP=1；EP与B0实际生效回执一致；DCP=1；unified；pd_disaggregation=false；server_replicas=1；prefill_only=0；decode_only=0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260CE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A1—A4均为同机2张910B2；gmu、max_num_seqs等容量参数须经4.5.4容量门禁复核；不得由adapter推断</w:t>
            </w:r>
          </w:p>
        </w:tc>
      </w:tr>
      <w:tr w14:paraId="7A9D62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5C3AE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工具与模板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8BD37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tool_call_parser=hermes；tool_parser_plugin=null；reasoning_parser=null；chat_template=固定tokenizer内置模板；content_format=string；trust_request_chat_template=false；template_kwargs={}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DFE2C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B0/B1使用相同模板字节和解析器；保存模板SHA-256及渲染后ordered token IDs/hash</w:t>
            </w:r>
          </w:p>
        </w:tc>
      </w:tr>
      <w:tr w14:paraId="049F24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CAA98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结构化输出</w:t>
            </w:r>
          </w:p>
        </w:tc>
        <w:tc>
          <w:tcPr>
            <w:tcW w:w="52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5F27D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structured_outputs_backend=xgrammar；disable_any_whitespace=false；disable_additional_properties=false</w:t>
            </w:r>
          </w:p>
        </w:tc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E3187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禁止backend=auto；B0/B1实际生效后端必须一致</w:t>
            </w:r>
          </w:p>
        </w:tc>
      </w:tr>
    </w:tbl>
    <w:p w14:paraId="305D53C8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表附-4 环境变量与设备绑定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4"/>
        <w:gridCol w:w="2670"/>
        <w:gridCol w:w="2836"/>
      </w:tblGrid>
      <w:tr w14:paraId="6D0774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BE32D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变量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13BD5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固定值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A7453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约束</w:t>
            </w:r>
          </w:p>
        </w:tc>
      </w:tr>
      <w:tr w14:paraId="1810DC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BA89F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VLLM_TARGET_DEVICE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A6A9E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npu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044FE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</w:t>
            </w:r>
          </w:p>
        </w:tc>
      </w:tr>
      <w:tr w14:paraId="79E936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AA828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VLLM_USE_V1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3346C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7258A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</w:t>
            </w:r>
          </w:p>
        </w:tc>
      </w:tr>
      <w:tr w14:paraId="3FE3FA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F8AF9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VLLM_WORKER_MULTIPROC_METHOD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5EF99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spawn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24180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</w:t>
            </w:r>
          </w:p>
        </w:tc>
      </w:tr>
      <w:tr w14:paraId="413157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18354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PYTHONHASHSEED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F89C9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5C059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</w:t>
            </w:r>
          </w:p>
        </w:tc>
      </w:tr>
      <w:tr w14:paraId="16EB76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60AAE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TOKENIZERS_PARALLELISM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A168A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false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37172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</w:t>
            </w:r>
          </w:p>
        </w:tc>
      </w:tr>
      <w:tr w14:paraId="4A23C8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37D9E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HF_HUB_OFFLINE / TRANSFORMERS_OFFLINE / HF_DATASETS_OFFLINE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5B00E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 / 1 / 1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191D7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禁止正式测试联网取模型或数据</w:t>
            </w:r>
          </w:p>
        </w:tc>
      </w:tr>
      <w:tr w14:paraId="1EC007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6D3FC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HCCL_CONNECT_TIMEOUT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3D41B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120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DFF9F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单位秒</w:t>
            </w:r>
          </w:p>
        </w:tc>
      </w:tr>
      <w:tr w14:paraId="65574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346F3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ASCEND_VISIBLE_DEVICES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58B3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独立评测系统分配的独占双卡ID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FB188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物理卡号进入每次签名receipt，不作为趋势分组维度</w:t>
            </w:r>
          </w:p>
        </w:tc>
      </w:tr>
      <w:tr w14:paraId="0B529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7B0A0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OMP_NUM_THREADS / CPU核表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74FCD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 / 根据NPU NUMA拓扑分配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80EE7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CPU核表进入运行回执；不得扫描线程数或跨NUMA手工改核</w:t>
            </w:r>
          </w:p>
        </w:tc>
      </w:tr>
      <w:tr w14:paraId="23CC03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9130C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PYTORCH_NPU_ALLOC_CONF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CB8F7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expandable_segments:True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FD05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B0/B1相同；启动回执记录</w:t>
            </w:r>
          </w:p>
        </w:tc>
      </w:tr>
      <w:tr w14:paraId="0EE499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B27EA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TASK_QUEUE_ENABLE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9F36F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893F8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B0/B1相同；不得在运行中改变</w:t>
            </w:r>
          </w:p>
        </w:tc>
      </w:tr>
      <w:tr w14:paraId="5D7AF8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9E214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其他执行变量</w:t>
            </w:r>
          </w:p>
        </w:tc>
        <w:tc>
          <w:tcPr>
            <w:tcW w:w="2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28E7C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禁止；不得进入正式测量</w:t>
            </w:r>
          </w:p>
        </w:tc>
        <w:tc>
          <w:tcPr>
            <w:tcW w:w="3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DA327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额外影响性能的环境变量一律拒绝</w:t>
            </w:r>
          </w:p>
        </w:tc>
      </w:tr>
    </w:tbl>
    <w:p w14:paraId="53D69281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表附-5 统一客户端采样与重复规则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900"/>
        <w:gridCol w:w="3500"/>
      </w:tblGrid>
      <w:tr w14:paraId="5398C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53A31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A7417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固定值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38270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约束</w:t>
            </w:r>
          </w:p>
        </w:tc>
      </w:tr>
      <w:tr w14:paraId="4A0C8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CB324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temperature / top_p / top_k / min_p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C26DB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0.0 / 1.0 / -1 / 0.0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0C241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所有cell一致</w:t>
            </w:r>
          </w:p>
        </w:tc>
      </w:tr>
      <w:tr w14:paraId="3863F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0FB72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presence / frequency / repetition penalty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DCA87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0.0 / 0.0 / 1.0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DECBA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所有cell一致</w:t>
            </w:r>
          </w:p>
        </w:tc>
      </w:tr>
      <w:tr w14:paraId="172FAC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132BF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n / best_of / beam_search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1E2F8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 / 1 / false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B4F75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禁止多结果择优；best_of为normalized-only语义，不向不支持该字段的HTTP endpoint发送</w:t>
            </w:r>
          </w:p>
        </w:tc>
      </w:tr>
      <w:tr w14:paraId="4CD8D0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F7756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stop / stop_token_ids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E3C23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[] / []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F1DB4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EOS行为由各profile的ignore_eos决定</w:t>
            </w:r>
          </w:p>
        </w:tc>
      </w:tr>
      <w:tr w14:paraId="0306D9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04C1C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ignore_eos（请求字段）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5F2E6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A1=true；A2=false；A3=true；A4=false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987EB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写入每个canonical request；严禁渲染成serve CLI参数</w:t>
            </w:r>
          </w:p>
        </w:tc>
      </w:tr>
      <w:tr w14:paraId="75B9D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6120E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max_tokens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8593B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按各cell的→值或output cap逐请求显式填写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0DB8A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A1=1；A3=2048；A2/A4按case合同</w:t>
            </w:r>
          </w:p>
        </w:tc>
      </w:tr>
      <w:tr w14:paraId="1E4A6B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32CC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min_tokens / echo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EA749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 / false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DA2AB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所有请求显式填写</w:t>
            </w:r>
          </w:p>
        </w:tc>
      </w:tr>
      <w:tr w14:paraId="32268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0B838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 Completion日志概率字段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AC2B0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logprobs=null；不发送top_logprobs；prompt_logprobs=null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BB174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按/v1/completions字段类型生成wire request</w:t>
            </w:r>
          </w:p>
        </w:tc>
      </w:tr>
      <w:tr w14:paraId="7D9E39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94BAF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A2/A3/A4 Chat日志概率字段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1DAB3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logprobs=false；top_logprobs=0；prompt_logprobs=null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E4EC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按/v1/chat/completions字段类型生成wire request</w:t>
            </w:r>
          </w:p>
        </w:tc>
      </w:tr>
      <w:tr w14:paraId="34AC74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D71D7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parallel_tool_calls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3B9A5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tool_calling及A4 tool租户=true；其他请求not_applicable且不发送tools/tool_choice/parallel_tool_calls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CE872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不依赖v0.18默认值；multi/parallel case必须显式为true</w:t>
            </w:r>
          </w:p>
        </w:tc>
      </w:tr>
      <w:tr w14:paraId="63B3C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ED0D4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detokenize / skip_special_tokens / spaces_between_special_tokens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F7E24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true / true / true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F5DBA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detokenize为normalized client/response语义，不向不支持该字段的HTTP endpoint发送</w:t>
            </w:r>
          </w:p>
        </w:tc>
      </w:tr>
      <w:tr w14:paraId="3A4266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065B6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add_special_tokens / truncate_prompt_tokens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7BCF0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true / null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FCA84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禁止静默截断；长度不合规直接失败</w:t>
            </w:r>
          </w:p>
        </w:tc>
      </w:tr>
      <w:tr w14:paraId="7E551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330AF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add_generation_prompt / continue_final_message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7EAD6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true / false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799B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渲染后ordered token IDs及SHA-256进入证据</w:t>
            </w:r>
          </w:p>
        </w:tc>
      </w:tr>
      <w:tr w14:paraId="1E69B9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88209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request identity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11511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user与request_id由config_hash、cell_id、repeat、sequence_no确定性生成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74BAF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同一B0/B1请求ID及顺序一致；规则进入client adapter版本</w:t>
            </w:r>
          </w:p>
        </w:tc>
      </w:tr>
      <w:tr w14:paraId="5C3042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66320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stream_options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17693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{"include_usage":true}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ACACA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所有Chat请求固定发送；A1 /v1/completions按同一流式计时规则记录首token与后续token</w:t>
            </w:r>
          </w:p>
        </w:tc>
      </w:tr>
      <w:tr w14:paraId="6F8A92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CEFD3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client_seed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5A259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5B308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B0/B1使用字节一致的请求及arrival序列</w:t>
            </w:r>
          </w:p>
        </w:tc>
      </w:tr>
      <w:tr w14:paraId="58F2B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5A8B0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streaming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B0893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true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15777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所有Chat请求采用流式响应；TTFT取服务端首个有效输出token时间戳，TPOT按后续token间隔计算；B0/B1使用同一计时实现</w:t>
            </w:r>
          </w:p>
        </w:tc>
      </w:tr>
      <w:tr w14:paraId="718B7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0776E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repeats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11A01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3个独立完整生命周期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8235F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冷启动—预热—测量—停止；异常仅可追加2次，不替换原结果</w:t>
            </w:r>
          </w:p>
        </w:tc>
      </w:tr>
      <w:tr w14:paraId="0F8FE4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3EFCC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结果选择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A6F20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每个阶段按预声明primary_metric取3次中位数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E0048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容量扫描、共同负载、A3和A4分别选择；失败、超时、错误和静默截断全部保留</w:t>
            </w:r>
          </w:p>
        </w:tc>
      </w:tr>
      <w:tr w14:paraId="1DF7C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5B237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响应有效性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07D30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HTTP/协议错误、error字段、超时、输出token数与max_tokens/EOS状态、截断标志逐请求记录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388C5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无法解释的短输出或token身份不一致按silent truncation失败</w:t>
            </w:r>
          </w:p>
        </w:tc>
      </w:tr>
      <w:tr w14:paraId="299913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266F7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wire request约束</w:t>
            </w:r>
          </w:p>
        </w:tc>
        <w:tc>
          <w:tcPr>
            <w:tcW w:w="2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4EC44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adapter仅发送目标endpoint支持的字段，并保存rendered HTTP body及SHA-256</w:t>
            </w:r>
          </w:p>
        </w:tc>
        <w:tc>
          <w:tcPr>
            <w:tcW w:w="3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4D190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normalized-only字段不得作为extra静默发送或依赖服务端忽略</w:t>
            </w:r>
          </w:p>
        </w:tc>
      </w:tr>
    </w:tbl>
    <w:p w14:paraId="02916931">
      <w:pPr>
        <w:jc w:val="both"/>
      </w:pPr>
      <w:r>
        <w:br w:type="page"/>
      </w:r>
    </w:p>
    <w:p w14:paraId="3F4306F4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表附-6 A1与A2固定客户端合同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3582"/>
        <w:gridCol w:w="3753"/>
      </w:tblGrid>
      <w:tr w14:paraId="2E0EE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DE875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单元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BE478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数据/形状与负载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BEB7B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时长、上限与超时</w:t>
            </w:r>
          </w:p>
        </w:tc>
      </w:tr>
      <w:tr w14:paraId="3ABEE2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56183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A1-BF16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98595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closed-loop；主4096×batch8→1；辅助1024×32→1、8192×4→1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F8167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warmup=10轮；measure=30轮；per_request_timeout=300s；lifecycle_timeout=1800s；primary=主形状MFU</w:t>
            </w:r>
          </w:p>
        </w:tc>
      </w:tr>
      <w:tr w14:paraId="5F59D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73A6D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A2共同执行法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0C7DF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每个cell独立启动对应profile；Poisson seed=0；rate固定升序；按签名ordered case list循环，不随机重抽；同一rate序列供B0/B1复用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33899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预热5min；每rate测量600s；rate间drain/cooldown=60s；request_cap=ceil(rate×600)；每个容量阶段重复3个完整生命周期</w:t>
            </w:r>
          </w:p>
        </w:tc>
      </w:tr>
      <w:tr w14:paraId="4F5DB7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01A96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dialogue_multiturn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3DDC75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profile=A2-DIALOGUE-BF16-PC；data_profile=DIALOGUE-PUBLIC；完整指定分片不少于20000条；P0固定4.0 RPS、max_concurrency=32、max_tokens=128；A2容量rates=0.25/0.5/1/2/3/4/6/8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7BC0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P0每角色3生命周期，执行顺序B0-1/B1-1/B0-2/B1-2/B0-3/B1-3；requests与schedules SHA-256由正式执行包生成并写入data_profile_id；容量阶段按B0最大合规点×0.70生成共同负载</w:t>
            </w:r>
          </w:p>
        </w:tc>
      </w:tr>
      <w:tr w14:paraId="519C2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EC8B7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tool_calling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2E414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profile=A2-TOOL-BF16-PC；data_profile=TOOL-PUBLIC；不少于512个用例并覆盖单工具、多工具/并行和多轮；rates=0.25/0.5/1/1.5/2/3/4/6；max_concurrency=16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D7262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B0三次容量中位最大合规点×0.70生成共同负载；B0/B1共同负载各3生命周期；capacity_timeout=7200s；common_timeout=1800s；per_request_timeout=300s；primary同dialogue并设工具质量门槛</w:t>
            </w:r>
          </w:p>
        </w:tc>
      </w:tr>
      <w:tr w14:paraId="1E5440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5DA1A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reasoning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FACC8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profile=A2-REASON-BF16；data_profile=REASON-PUBLIC；不少于1000个可自动判定用例；output cap=512；rates=0.25/0.5/1/1.5/2/3/4；max_concurrency=16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210E3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per_request_timeout=600s；capacity_timeout=6300s；重复3生命周期；primary=质量正确率和错误率，性能完整报告</w:t>
            </w:r>
          </w:p>
        </w:tc>
      </w:tr>
      <w:tr w14:paraId="090F7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68C33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structured_output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CE6B9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profile=A2-STRUCT-BF16；data_profile=STRUCT-PUBLIC；不少于60个合格schema；OpenAI JSON Schema；output cap=512；rates=0.25/0.5/1/1.5/2/3/4；max_concurrency=16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899B8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per_request_timeout=600s；capacity_timeout=6300s；重复3生命周期；primary=Schema合法率及任务成功率，性能完整报告</w:t>
            </w:r>
          </w:p>
        </w:tc>
      </w:tr>
      <w:tr w14:paraId="34C18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9037B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long_context_capacity</w:t>
            </w:r>
          </w:p>
        </w:tc>
        <w:tc>
          <w:tcPr>
            <w:tcW w:w="4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31F22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profile=A2-LONG-BF16；data_profile=LONG-PUBLIC；确定性生成32例：16×8192+512、16×16384+1024；rates=0.05/0.1/0.2/0.4；max_concurrency=4</w:t>
            </w:r>
          </w:p>
        </w:tc>
        <w:tc>
          <w:tcPr>
            <w:tcW w:w="24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0429C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per_request_timeout=1800s；capacity_timeout=7200s；重复3生命周期；仅报告容量边界、错误率、HBM和KV使用量</w:t>
            </w:r>
          </w:p>
        </w:tc>
      </w:tr>
      <w:tr w14:paraId="1207A3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</w:tcPr>
          <w:p w14:paraId="3109BC24">
            <w:pPr>
              <w:jc w:val="both"/>
            </w:pPr>
            <w:r>
              <w:rPr>
                <w:sz w:val="18"/>
              </w:rPr>
              <w:t>code</w:t>
            </w:r>
          </w:p>
        </w:tc>
        <w:tc>
          <w:tcPr>
            <w:tcW w:w="4700" w:type="dxa"/>
          </w:tcPr>
          <w:p w14:paraId="22752D98">
            <w:pPr>
              <w:jc w:val="both"/>
            </w:pPr>
            <w:r>
              <w:rPr>
                <w:sz w:val="18"/>
              </w:rPr>
              <w:t>profile=A2-CODE-BF16；data_profile=CODE-GROUP；InstructCoder、LiveCodeBench、HumanEval、MBPP、SyFi分别使用完整冻结split；PAIO-CODE-EVAL为扩展引用；closed-loop；max_concurrency=8；不得截断官方题目或测试</w:t>
            </w:r>
          </w:p>
        </w:tc>
        <w:tc>
          <w:tcPr>
            <w:tcW w:w="2400" w:type="dxa"/>
          </w:tcPr>
          <w:p w14:paraId="07FEC251">
            <w:pPr>
              <w:jc w:val="both"/>
            </w:pPr>
            <w:r>
              <w:rPr>
                <w:sz w:val="18"/>
              </w:rPr>
              <w:t>warmup=5min；每个数据集完整执行；per_request_timeout=1800s；lifecycle_timeout=7200s；重复3生命周期；primary=官方任务得分和成功率，吞吐、TTFT、TPOT、E2E完整报告</w:t>
            </w:r>
          </w:p>
        </w:tc>
      </w:tr>
      <w:tr w14:paraId="2C2C01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</w:tcPr>
          <w:p w14:paraId="7F0DBDAC">
            <w:pPr>
              <w:jc w:val="both"/>
            </w:pPr>
            <w:r>
              <w:rPr>
                <w:sz w:val="18"/>
              </w:rPr>
              <w:t>swe_prefix_reuse</w:t>
            </w:r>
          </w:p>
        </w:tc>
        <w:tc>
          <w:tcPr>
            <w:tcW w:w="4700" w:type="dxa"/>
          </w:tcPr>
          <w:p w14:paraId="53D034A3">
            <w:pPr>
              <w:jc w:val="both"/>
            </w:pPr>
            <w:r>
              <w:rPr>
                <w:sz w:val="18"/>
              </w:rPr>
              <w:t>本版不生成A2-SWE-PREFIX正式profile和到达序列</w:t>
            </w:r>
          </w:p>
        </w:tc>
        <w:tc>
          <w:tcPr>
            <w:tcW w:w="2400" w:type="dxa"/>
          </w:tcPr>
          <w:p w14:paraId="3FA03998">
            <w:pPr>
              <w:jc w:val="both"/>
            </w:pPr>
            <w:r>
              <w:rPr>
                <w:sz w:val="18"/>
              </w:rPr>
              <w:t>状态记为未执行；后续启用时按新版本中固化的参数执行三次生命周期，仅作补充报告</w:t>
            </w:r>
          </w:p>
        </w:tc>
      </w:tr>
    </w:tbl>
    <w:p w14:paraId="7FAC7848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表附-7 A3与A4固定客户端合同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7772"/>
        <w:gridCol w:w="1340"/>
      </w:tblGrid>
      <w:tr w14:paraId="4DF95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A5FD8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任务</w:t>
            </w:r>
          </w:p>
        </w:tc>
        <w:tc>
          <w:tcPr>
            <w:tcW w:w="5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2F786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固定执行值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B9A69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判定边界</w:t>
            </w:r>
          </w:p>
        </w:tc>
      </w:tr>
      <w:tr w14:paraId="406E82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E4229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A3</w:t>
            </w:r>
          </w:p>
        </w:tc>
        <w:tc>
          <w:tcPr>
            <w:tcW w:w="5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C821A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3-32K-BF16；data_profile=LONG-PUBLIC；total_context_tokens=32768；input_tokens=30720；max_tokens=2048；ignore_eos=true；closed-loop；concurrency=1；seed=0；warmup=5min；measure=30min；6×5min窗口；max_requests=64；min_completed=24；per_request_timeout=1800s；lifecycle_timeout=3600s；repeats=3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00FEF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primary=窗口吞吐CV、TTFT/TPOT漂移及0失败；输入token数以chat template渲染后的token IDs计；不得静默截断、使用随机token或在运行后更换LONG-PUBLIC内容</w:t>
            </w:r>
          </w:p>
        </w:tc>
      </w:tr>
      <w:tr w14:paraId="7DA183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D5B96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A4</w:t>
            </w:r>
          </w:p>
        </w:tc>
        <w:tc>
          <w:tcPr>
            <w:tcW w:w="5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A34E0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profile=A4-MT-BF16-PC；tenants=DIALOGUE-GROUP/TOOL-GROUP/REASON-GROUP/STRUCT-GROUP/CODE-GROUP；offered output-token share各20%；B0容量点=32/64/96/128/192/256/384 output token/s，每点600s、间隔60s、重复3次；正式global_load=0.70×B0中位最大合规速率；Poisson seed=0；per_tenant_concurrency=4；global=16；warmup=5min；measure=30min；repeats=3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DB822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primary=每百万成功输出token全生命周期成本；设备和主机按资产原值÷21600小时计，电费按0.60元/kWh及实测功耗计，人工不计入机器运行成本并单列；各比较关系使用同一价格时点和分摊规则</w:t>
            </w:r>
          </w:p>
        </w:tc>
      </w:tr>
    </w:tbl>
    <w:p w14:paraId="5F3EB6B8">
      <w:pPr>
        <w:jc w:val="both"/>
      </w:pPr>
    </w:p>
    <w:p w14:paraId="7C3BEEA6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表附-8 正式测试固定值与运行绑定项</w:t>
      </w:r>
    </w:p>
    <w:tbl>
      <w:tblPr>
        <w:tblStyle w:val="17"/>
        <w:tblW w:w="83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6147"/>
        <w:gridCol w:w="1845"/>
      </w:tblGrid>
      <w:tr w14:paraId="0BDBC8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93C79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类别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0CA69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固定值或绑定规则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B76F2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生效与门禁</w:t>
            </w:r>
          </w:p>
        </w:tc>
      </w:tr>
      <w:tr w14:paraId="4B1AE3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6EC9F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代码与镜像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89F56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 core=bcf2be96120005e9aea171927f85055a6a5c0cf6，plugin=e18643f8a4d5bd9990727654318ad069ea0b56e2。B1为测试开始时冻结的vLLM-HUST最终交付推理引擎，exact core/plugin提交由当次正式发布manifest绑定。B0和B1均使用OCI RepoDigest或离线OCI内容摘要作为镜像身份，不使用本地image ID作为正式身份。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CE003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B0提交不匹配即拒绝；B1 exact提交、两侧OCI摘要和clean-overlay证明由发布服务在正式测试开始时写入不可变manifest并纳入执行记录。</w:t>
            </w:r>
          </w:p>
        </w:tc>
      </w:tr>
      <w:tr w14:paraId="35C995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05100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模型身份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82F1A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model=Qwen/Qwen3.5-35B-A3B；revision=59d61f3ce65a6d9863b86d2e96597125219dc754；tokenizer.json SHA-256=5f9e4d4901a92b997e463c1f46055088b6cca5ca61a6522d1b9f64c4bb81cb42；BF16模型manifest文件SHA-256=878a08594a81d3bbfbd1afa563beecb11c27deb4db40648ae3acea8dbfad12fd。B0/B1必测线使用同一字节级模型工件；W8A8扩展另行绑定完整manifest。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84E00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测试包同时提供BF16与W8A8完整weight/tokenizer SHA-256 manifest；W8A8清单必须记录quantization=ascend、量化配置、源工件revision和每个分片hash；第三方只核验并使用交付工件，不自行改重量化。</w:t>
            </w:r>
          </w:p>
        </w:tc>
      </w:tr>
      <w:tr w14:paraId="36FF3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633EA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W8A8工件资格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EF51D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W8A8扩展工件由固定BF16工件生成；必须同时保存量化配置、源revision和每个分片hash，并使用与BF16必测线相同的TOOL、REASON、STRUCT、CODE和LONG数据集组执行质量对照。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4F051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推理、工具、结构化、代码和长文本任务得分相对同源BF16下降均≤1个百分点；Schema合法率100%；工具与结构化成功率≥95%；不合格时不得执行W8A8扩展，BF16必测线仍按固定合同完成。</w:t>
            </w:r>
          </w:p>
        </w:tc>
      </w:tr>
      <w:tr w14:paraId="01C209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1F32E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配置身份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CD89C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表附-2至表附-7固定共同外部合同和规范化配置；comparison_id=SHA-256(JCS角色化比较合同)；B0/B1 config_id分别对代码/镜像身份与同一配置计算SHA-256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A25D2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adapter生成两侧实际CLI与startup effective receipt；comparison_id、规范化配置、模型工件或生效值不符即拒绝</w:t>
            </w:r>
          </w:p>
        </w:tc>
      </w:tr>
      <w:tr w14:paraId="79D90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906BE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编译生效合同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D966B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A1的B0/B1固定eager、cudagraph=none、warmups=1，实际图捕获次数必须为0。A2—A4的B0/B1均固定compile=vllm_compile、enforce_eager=false、cudagraph=FULL_DECODE_ONLY，并使用表附-3相同capture sizes和warmups=1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BD62B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保存两侧完整执行模式receipt；任一侧未捕获、发生回退、使用表外capture size或测量期新增捕获时拒绝该生命周期</w:t>
            </w:r>
          </w:p>
        </w:tc>
      </w:tr>
      <w:tr w14:paraId="2F2D5B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22D8A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运行环境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8BB56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芯片=Ascend 910B2；卡数=2（TP=2）；容器代际=Ascend v0.23；CANN=9.1；其余环境变量见表附-4。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F0515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driver、firmware、torch_npu、容器digest和物理NPU assignment启动前采集并写入证据包；不匹配或缺失即拒绝。</w:t>
            </w:r>
          </w:p>
        </w:tc>
      </w:tr>
      <w:tr w14:paraId="07AE7F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5FCA2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数据身份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24CEC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数据按A1-COMPUTE、DIALOGUE、TOOL、REASON、STRUCT、CODE、VISION、LONG-KV和A4-TENANT组绑定；同一物理dataset_id只保存一份，跨profile通过manifest引用。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EC035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每个引用记录dataset_id、config_id、test_tier、contract_role、coverage_role、来源、许可、revision、原始SHA-256、转换日志、全部case_id和有序token hash；不得根据B0/B1结果筛选、更换或改档</w:t>
            </w:r>
          </w:p>
        </w:tc>
      </w:tr>
      <w:tr w14:paraId="75A82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D6E53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到达序列身份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E136B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generator=vllm-hust-poisson-v1；seed=0；每个rate按表附-6生成完整到达时间序列；clock=monotonic。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EEB28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arrival generator和client adapter绑定exact revision/hash；ordered inter-arrival timestamp SHA-256进入请求清单；B0/B1复用同一序列。</w:t>
            </w:r>
          </w:p>
        </w:tc>
      </w:tr>
      <w:tr w14:paraId="297836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07F69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到达背压规则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69EDD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并发上限饱和时本地FIFO等待；保留nominal timestamp并记录send lag；不丢弃、不重排、不突发追赶；超过cell timeout即失败。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AA149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规则、nominal timestamp、实际发送时间和send lag全部进入证据包。</w:t>
            </w:r>
          </w:p>
        </w:tc>
      </w:tr>
      <w:tr w14:paraId="31CEC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B9AD4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判定程序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FABF4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tool使用固定tool name/arguments oracle；reasoning使用固定答案抽取器；structured使用固定schema dialect校验器；code使用冻结官方scorer、编译器和单测；dialogue检查协议成功和多轮连续性；long检查目标事实、无截断及输出token数。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4300E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oracle/parser与client adapter同仓发布并绑定exact revision/hash；B0工具能力通过同一64例直接记录，不另设资格化口径。</w:t>
            </w:r>
          </w:p>
        </w:tc>
      </w:tr>
      <w:tr w14:paraId="445ED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883BC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优化机制生效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145CC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dialogue、tool与A4记录prefix_cache_queries/hits；P0及A2—A4记录graph_capture_count、graph_hit_count、graph_fallback_count、capture_sizes和compile_time；W8A8扩展记录量化生效值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255A9D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规定机制未生效、计数器缺失、任一侧发生图回退或生效值不符合共同配置时，对应生命周期无效并完整重跑</w:t>
            </w:r>
          </w:p>
        </w:tc>
      </w:tr>
      <w:tr w14:paraId="0B960A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E2E8C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前端与模板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93CB0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tool_call_parser=hermes；plugin=null；chat_template=固定模型tokenizer内置模板；content_format=string；template_kwargs={}；structured backend=xgrammar；reasoning_parser=null。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D0F35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B0/B1规范化值相同；保存模板字节/hash、实际CLI、生效回执及tool/structured渲染后ordered token IDs/hash。</w:t>
            </w:r>
          </w:p>
        </w:tc>
      </w:tr>
      <w:tr w14:paraId="5C2527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94917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A2绝对SLO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C286A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dialogue/tool/reasoning/structured/code：TTFT mean≤1000ms、p95≤2000ms、p99≤4000ms；TPOT mean≤40ms、p95≤60ms、p99≤80ms。long：8192输入TTFT≤8/12/16s，16384输入≤16/24/32s；TPOT≤40/60/80ms。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A5F01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各rate测量600s；完成数≥request_cap的99%；样本少于1000时0失败，达到1000时error_rate≤0.1%；仅接受预定义rate点，不插值或外推。A3/A4的绝对SLO与测量区间见表4-2b。</w:t>
            </w:r>
          </w:p>
        </w:tc>
      </w:tr>
      <w:tr w14:paraId="48B576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B6C7B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A1算力口径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DF399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峰值分母=在独占910B2上执行ascend-dmi BF16算力测试3次所得TFLOPS@BF16中位数。effective_compute_spec v1：MatMul按2MNK，BatchMatMul逐批求和，Attention计入QK^T和PV，其他逐元素算子不计入有效FLOPs。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1AE15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主形状MFU≥90%；effective FLOPs计数与msprof总量误差≤3%；原始ascend-dmi和msprof输出全部保留。</w:t>
            </w:r>
          </w:p>
        </w:tc>
      </w:tr>
      <w:tr w14:paraId="54CFE9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040EB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A3专项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F7A86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总上下文32768=渲染后输入30720+输出2048；业务文档按document_id稳定排序循环拼接，段间使用固定分隔符；插入可核验目标事实，oracle检查目标事实、无截断和2048输出token。监控间隔=1s。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9D2EE9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记录HBM已用/峰值、KV cache使用量、队列深度、请求token数、窗口TTFT/TPOT和吞吐；任一字段缺失则A3不通过；窗口划分、有效性判据与SLO按表4-2b执行。</w:t>
            </w:r>
          </w:p>
        </w:tc>
      </w:tr>
      <w:tr w14:paraId="6880F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B7657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A4成本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14502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设备和主机成本=资产原值÷21600小时×生命周期小时；电费=实测平均功率kW×生命周期小时×0.60元/kWh；人工不计入机器运行成本并单列。每百万成功输出token成本=全生命周期成本÷成功输出token×10^6。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915F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各比较关系使用同一资产原值、价格时点、计费周期和功耗采样规则；另保留30分钟测量期成本及五租户隔离B0证据；分母仅计测量区间内满足SLO的成功输出token（表4-2b）。</w:t>
            </w:r>
          </w:p>
        </w:tc>
      </w:tr>
      <w:tr w14:paraId="1422E5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B389D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CPU与计时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DF281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OMP_NUM_THREADS=1；cpu_binding_policy=topo_affinity；CPU核表根据所分配NPU的NUMA节点确定；streaming=true；clock=monotonic。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91652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核表和实际亲和性进入startup receipt；TTFT取首个有效输出token，TPOT按后续token间隔；不得扫描线程数或改变计时协议。</w:t>
            </w:r>
          </w:p>
        </w:tc>
      </w:tr>
      <w:tr w14:paraId="64CAAF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FAC2A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任务书口径</w:t>
            </w:r>
          </w:p>
        </w:tc>
        <w:tc>
          <w:tcPr>
            <w:tcW w:w="5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E460D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Qwen3.5-35B-A3B作为本次验收代表模型；32K定义为单次请求渲染后输入与输出合计32768 token，其中输入30720、输出2048。</w:t>
            </w:r>
          </w:p>
        </w:tc>
        <w:tc>
          <w:tcPr>
            <w:tcW w:w="21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5651C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上述两项口径作为本次验收依据。</w:t>
            </w:r>
          </w:p>
        </w:tc>
      </w:tr>
      <w:tr w14:paraId="23F2D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1" w:type="dxa"/>
          </w:tcPr>
          <w:p w14:paraId="3E66B5A5">
            <w:pPr>
              <w:jc w:val="both"/>
            </w:pPr>
            <w:r>
              <w:rPr>
                <w:sz w:val="18"/>
              </w:rPr>
              <w:t>指标与物理资产矩阵</w:t>
            </w:r>
          </w:p>
        </w:tc>
        <w:tc>
          <w:tcPr>
            <w:tcW w:w="6658" w:type="dxa"/>
          </w:tcPr>
          <w:p w14:paraId="777CA1AD">
            <w:pPr>
              <w:jc w:val="both"/>
            </w:pPr>
            <w:r>
              <w:rPr>
                <w:sz w:val="18"/>
              </w:rPr>
              <w:t>来源提交=91bcc4154b70333d87c8180afe85dc933452e253；指标矩阵SHA-256=bb386cd1e5f34bd79af9fb871d6cfa739cab80145149fc3b675daa6b310c2927；物理注册表SHA-256=18a32489d16467221362af11fb525760fda1c7b5fb56505569829ccaeb3f79fd；44个去重数据/轨迹家族。</w:t>
            </w:r>
          </w:p>
        </w:tc>
        <w:tc>
          <w:tcPr>
            <w:tcW w:w="2992" w:type="dxa"/>
          </w:tcPr>
          <w:p w14:paraId="75D8F525">
            <w:pPr>
              <w:jc w:val="both"/>
            </w:pPr>
            <w:r>
              <w:rPr>
                <w:sz w:val="18"/>
              </w:rPr>
              <w:t>请求物化前校验两份文件及metric tier registry；不适用填N/A，适用但缺失填具体阻塞状态并记CANNOT_DETERMINE；不得将空值或0解释为通过。</w:t>
            </w:r>
          </w:p>
        </w:tc>
      </w:tr>
    </w:tbl>
    <w:p w14:paraId="2EB2CA56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表附-9 证据包签名与发布门禁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000"/>
        <w:gridCol w:w="3700"/>
      </w:tblGrid>
      <w:tr w14:paraId="24381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7322E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字段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64859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固定规则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FD676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执行要求</w:t>
            </w:r>
          </w:p>
        </w:tc>
      </w:tr>
      <w:tr w14:paraId="66B2E4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8FF39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artifact hash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6089F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SHA-256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05EBF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每个artifact记录path、size、SHA-256</w:t>
            </w:r>
          </w:p>
        </w:tc>
      </w:tr>
      <w:tr w14:paraId="6A189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124C3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manifest canonicalization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DB04E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RFC 8785 JCS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BABBB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对规范化manifest计算root hash</w:t>
            </w:r>
          </w:p>
        </w:tc>
      </w:tr>
      <w:tr w14:paraId="790CF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506E7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result signature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201D0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Ed25519 / RFC 8032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FF4D4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评测服务在证据包关闭写入后签名；任何字节变化均失效</w:t>
            </w:r>
          </w:p>
        </w:tc>
      </w:tr>
      <w:tr w14:paraId="69A87D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85EB9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signature scope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B9F43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manifest root hash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F77A1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覆盖request ID、target/config version、B0/B1 identity、环境/NPU receipt、全部重复及中位数选择</w:t>
            </w:r>
          </w:p>
        </w:tc>
      </w:tr>
      <w:tr w14:paraId="722B75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0987C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admission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CB604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signature_verified=true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8C6FD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只有验签通过的bundle可进入验收报告、snapshot和website</w:t>
            </w:r>
          </w:p>
        </w:tc>
      </w:tr>
      <w:tr w14:paraId="4CEAE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9C4A8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key custody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C9D5B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评测服务根账户专有，权限0400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3E7E7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worker经最小权限signing helper使用；CI和提交者不可读取私钥</w:t>
            </w:r>
          </w:p>
        </w:tc>
      </w:tr>
      <w:tr w14:paraId="3370D4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E9911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trust store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8C139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公钥、key ID、有效期、撤销状态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B1803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旧公钥保留以验证历史包；实际key ID、公钥指纹和trust-store hash由签名服务写入配置版本</w:t>
            </w:r>
          </w:p>
        </w:tc>
      </w:tr>
      <w:tr w14:paraId="30BC63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D4343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request authentication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71C4C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HMAC仅用于请求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D6724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不得替代服务器结果签名</w:t>
            </w:r>
          </w:p>
        </w:tc>
      </w:tr>
    </w:tbl>
    <w:p w14:paraId="2CD3DCBE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表附-10 第三方测试机构逐步执行清单</w:t>
      </w:r>
    </w:p>
    <w:tbl>
      <w:tblPr>
        <w:tblStyle w:val="17"/>
        <w:tblW w:w="90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3000"/>
        <w:gridCol w:w="3700"/>
      </w:tblGrid>
      <w:tr w14:paraId="69BA5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4F5B5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步骤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F9352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第三方操作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FA06F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/>
                <w:sz w:val="18"/>
              </w:rPr>
              <w:t>通过条件与留存证据</w:t>
            </w:r>
          </w:p>
        </w:tc>
      </w:tr>
      <w:tr w14:paraId="018D38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DB1ED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 接收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485991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接收V5.4、第三方文档包、指标矩阵、物理资产注册表、配置清单和签名公钥；计算文件名、大小和SHA-256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40B88E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方案与资产manifest一致；生成接收清单和校验日志</w:t>
            </w:r>
          </w:p>
        </w:tc>
      </w:tr>
      <w:tr w14:paraId="43A3B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13594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2 隔离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A4FE0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进入维护状态，检查910B2型号、双卡独占、主机进程、磁盘、模型和数据容量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91A87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无其他NPU进程；记录设备序列号、驱动、固件、CANN、torch_npu和NPU assignment</w:t>
            </w:r>
          </w:p>
        </w:tc>
      </w:tr>
      <w:tr w14:paraId="24329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709F5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3 工件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7484B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逐文件核验BF16模型、tokenizer和manifest；W8A8扩展存在时另核验量化配置和质量回执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E3A02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全部hash一致；质量达到表4-3和表附-8门槛；保存逐题结果和聚合结果</w:t>
            </w:r>
          </w:p>
        </w:tc>
      </w:tr>
      <w:tr w14:paraId="3D9C89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6A5AF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4 数据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9F2C5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按表4-5核验A1—A4数据集组manifest、44个物理dataset_id、test_tier、来源与授权、split/规模、转换程序及oracle/scorer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7B89E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case_id、顺序、内容/token hash、授权记录和程序revision全部一致</w:t>
            </w:r>
          </w:p>
        </w:tc>
      </w:tr>
      <w:tr w14:paraId="15F66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42A51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5 镜像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281C0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分别核验B0、B1 exact refs、clean-overlay证明、OCI digest/labels；禁止dirty tree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2625A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B0固定提交匹配；B1与本次发布绑定；镜像和环境manifest完整</w:t>
            </w:r>
          </w:p>
        </w:tc>
      </w:tr>
      <w:tr w14:paraId="1FC189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21CD3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6 配置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B4BB6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adapter按表附-2至表附-7生成P0及A1—A4 BF16配置；W8A8扩展生成独立配置、comparison_id和config_id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B8D48A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禁止人工编辑；各comparison_type严格执行表附-1角色合同，不得出现表外字段差别</w:t>
            </w:r>
          </w:p>
        </w:tc>
      </w:tr>
      <w:tr w14:paraId="6F2F3F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1A250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7 启动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A69A76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按共同配置启动两侧服务，等待健康检查；按表附-3升序预捕获全部capture sizes；采集startup effective receipt并逐项核验量化、缓存、分块预填充、eager或FULL_DECODE_ONLY及资源参数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E861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全部生效值符合表附-3；任一侧图未捕获或回退eager时停止生命周期并保留失败证据</w:t>
            </w:r>
          </w:p>
        </w:tc>
      </w:tr>
      <w:tr w14:paraId="15E91D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E9D30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8 连通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6CEE4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每个profile发送1条固定请求，验证协议、流式计时、日志、监控、停止和证据写入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A2D63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仅作为连通性检查，不进入性能统计；不得据此改参</w:t>
            </w:r>
          </w:p>
        </w:tc>
      </w:tr>
      <w:tr w14:paraId="44F41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A42162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9 A1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9D3504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按A1-BF16执行B0和B1各3个冷启动—预热—测量—停止生命周期，并完成ascend-dmi与msprof复核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AAD44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主形状MFU、计量误差、三次原始结果和中位数选择记录齐全</w:t>
            </w:r>
          </w:p>
        </w:tc>
      </w:tr>
      <w:tr w14:paraId="63C7B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76220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10 A2容量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1336B7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依次执行DIALOGUE、TOOL、REASON、STRUCT、LONG和CODE数据集组；同组REQUIRED数据分别出具结果；完成A2-V模态适用性判定；B0-BF16和B1-BF16各3生命周期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9E7928F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服务参数在整条曲线中不变；每点请求数、SLO、错误、资源和机制指标齐全</w:t>
            </w:r>
          </w:p>
        </w:tc>
      </w:tr>
      <w:tr w14:paraId="621FC1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4F7E1C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11 A2共同负载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E9F54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以B0-BF16三次容量中位最大合规点计算dialogue/tool的70%负载，生成并签名到达序列；B0-BF16和B1-BF16各运行3生命周期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E9266B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B0/B1复用相同请求和arrival；形成BF16必测结论；W8A8量化增量、同量化结果和端到端系统结果仅在扩展工件齐全时分别形成</w:t>
            </w:r>
          </w:p>
        </w:tc>
      </w:tr>
      <w:tr w14:paraId="4E1C6A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092EA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12 A3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F76120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按A3-32K-BF16执行B0/B1各3生命周期，检查6个窗口、HBM/KV、输出token、OOM、死锁和截断；W8A8扩展单列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4FE52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达到表4-2稳定性门槛；全部窗口和逐请求记录齐全</w:t>
            </w:r>
          </w:p>
        </w:tc>
      </w:tr>
      <w:tr w14:paraId="2E9093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3F6AB3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13 A4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90529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先按固定输出token速率点执行B0-BF16三次混合容量扫描并生成70%正式负载，再执行B0-BF16和B1-BF16正式混合各3次；W8A8扩展单列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B670AA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完成成本、公平性、份额、尾延迟、利用率和隔离B0复核</w:t>
            </w:r>
          </w:p>
        </w:tc>
      </w:tr>
      <w:tr w14:paraId="209A4D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1D7AF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14 汇总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7A8A3D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按每阶段预声明主指标选择三次中位数；失败、取消、超时、替补和追加运行全部保留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CB00E5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不得逐指标挑最好；形成repeat suite和canonical selection记录</w:t>
            </w:r>
          </w:p>
        </w:tc>
      </w:tr>
      <w:tr w14:paraId="445F31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3E94F9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15 签发</w:t>
            </w:r>
          </w:p>
        </w:tc>
        <w:tc>
          <w:tcPr>
            <w:tcW w:w="30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C58088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关闭证据包写入，生成JCS manifest、SHA-256根哈希并以Ed25519签名；复算A1—A4并出具报告</w:t>
            </w:r>
          </w:p>
        </w:tc>
        <w:tc>
          <w:tcPr>
            <w:tcW w:w="3700" w:type="dx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EEAB8E">
            <w:pPr>
              <w:spacing w:before="0" w:after="0" w:line="280" w:lineRule="exact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18"/>
              </w:rPr>
              <w:t>signature_verified=true；报告逐项给出通过/不通过/不具备判定条件及证据路径</w:t>
            </w:r>
          </w:p>
        </w:tc>
      </w:tr>
    </w:tbl>
    <w:p w14:paraId="5035AF55">
      <w:pPr>
        <w:spacing w:before="40" w:after="40" w:line="560" w:lineRule="exact"/>
        <w:ind w:left="0" w:right="0" w:firstLine="0"/>
        <w:jc w:val="both"/>
      </w:pPr>
      <w:r>
        <w:t>表附-11 正式测试包目录与文件命名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013A3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421E1D1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目录或文件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4D74AFA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必须包含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2FD48E2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校验与权限</w:t>
            </w:r>
          </w:p>
        </w:tc>
      </w:tr>
      <w:tr w14:paraId="5A0DE6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BB0F71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/plan/</w:t>
            </w:r>
          </w:p>
        </w:tc>
        <w:tc>
          <w:tcPr>
            <w:tcW w:w="2995" w:type="dxa"/>
            <w:vAlign w:val="center"/>
          </w:tcPr>
          <w:p w14:paraId="4188093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V5.4 DOCX、PDF和SHA256SUMS；文件名含版本号，不得覆盖旧版本</w:t>
            </w:r>
          </w:p>
        </w:tc>
        <w:tc>
          <w:tcPr>
            <w:tcW w:w="3700" w:type="dxa"/>
            <w:vAlign w:val="center"/>
          </w:tcPr>
          <w:p w14:paraId="2F21DAB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只读；test_plan_sha256写入每个请求、配置和结果manifest</w:t>
            </w:r>
          </w:p>
        </w:tc>
      </w:tr>
      <w:tr w14:paraId="323BBC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9B54D4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/registry/</w:t>
            </w:r>
          </w:p>
        </w:tc>
        <w:tc>
          <w:tcPr>
            <w:tcW w:w="2995" w:type="dxa"/>
            <w:vAlign w:val="center"/>
          </w:tcPr>
          <w:p w14:paraId="0313D18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targets-v4.1.yaml、schema.json、registry-version.txt；每个target含active状态</w:t>
            </w:r>
          </w:p>
        </w:tc>
        <w:tc>
          <w:tcPr>
            <w:tcW w:w="3700" w:type="dxa"/>
            <w:vAlign w:val="center"/>
          </w:tcPr>
          <w:p w14:paraId="22BD823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UTF-8、LF；JSON按RFC 8785规范化；YAML解析后转JCS计算SHA-256</w:t>
            </w:r>
          </w:p>
        </w:tc>
      </w:tr>
      <w:tr w14:paraId="6C94A4A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B219DB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/images/{b0,b1}/</w:t>
            </w:r>
          </w:p>
        </w:tc>
        <w:tc>
          <w:tcPr>
            <w:tcW w:w="2995" w:type="dxa"/>
            <w:vAlign w:val="center"/>
          </w:tcPr>
          <w:p w14:paraId="7F96FF0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OCI manifest、repo digest、labels、软件清单和clean-overlay证明</w:t>
            </w:r>
          </w:p>
        </w:tc>
        <w:tc>
          <w:tcPr>
            <w:tcW w:w="3700" w:type="dxa"/>
            <w:vAlign w:val="center"/>
          </w:tcPr>
          <w:p w14:paraId="77B5DDB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正式运行只按repo digest拉取；tag仅显示，不作为身份</w:t>
            </w:r>
          </w:p>
        </w:tc>
      </w:tr>
      <w:tr w14:paraId="566B60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A8AF7C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/models/qwen35/{fp16,w8a8}/</w:t>
            </w:r>
          </w:p>
        </w:tc>
        <w:tc>
          <w:tcPr>
            <w:tcW w:w="2995" w:type="dxa"/>
            <w:vAlign w:val="center"/>
          </w:tcPr>
          <w:p w14:paraId="1F0AE90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model-manifest.json、tokenizer-manifest.json、全部分片size/SHA-256和revision</w:t>
            </w:r>
          </w:p>
        </w:tc>
        <w:tc>
          <w:tcPr>
            <w:tcW w:w="3700" w:type="dxa"/>
            <w:vAlign w:val="center"/>
          </w:tcPr>
          <w:p w14:paraId="73D115B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目录只读；启动前逐文件校验；缺失或多出文件均拒绝</w:t>
            </w:r>
          </w:p>
        </w:tc>
      </w:tr>
      <w:tr w14:paraId="50DDEA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A6EEAB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/datasets/&lt;cell&gt;/</w:t>
            </w:r>
          </w:p>
        </w:tc>
        <w:tc>
          <w:tcPr>
            <w:tcW w:w="2995" w:type="dxa"/>
            <w:vAlign w:val="center"/>
          </w:tcPr>
          <w:p w14:paraId="7B1D835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source-manifest.json、cases.jsonl、ordered-case-ids.txt、rendered-token-hash.json</w:t>
            </w:r>
          </w:p>
        </w:tc>
        <w:tc>
          <w:tcPr>
            <w:tcW w:w="3700" w:type="dxa"/>
            <w:vAlign w:val="center"/>
          </w:tcPr>
          <w:p w14:paraId="7CF677D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数据、顺序、模板和tokenizer绑定；B0/B1字节一致</w:t>
            </w:r>
          </w:p>
        </w:tc>
      </w:tr>
      <w:tr w14:paraId="6A5F08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5AFF16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/oracles/&lt;cell&gt;/</w:t>
            </w:r>
          </w:p>
        </w:tc>
        <w:tc>
          <w:tcPr>
            <w:tcW w:w="2995" w:type="dxa"/>
            <w:vAlign w:val="center"/>
          </w:tcPr>
          <w:p w14:paraId="379345D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判定程序、依赖锁文件、revision、入口命令和测试向量</w:t>
            </w:r>
          </w:p>
        </w:tc>
        <w:tc>
          <w:tcPr>
            <w:tcW w:w="3700" w:type="dxa"/>
            <w:vAlign w:val="center"/>
          </w:tcPr>
          <w:p w14:paraId="1DEE0D6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离线运行；输出oracle-result.json；代码和依赖均计算SHA-256</w:t>
            </w:r>
          </w:p>
        </w:tc>
      </w:tr>
      <w:tr w14:paraId="07D746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3802DF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/arrivals/&lt;target&gt;/</w:t>
            </w:r>
          </w:p>
        </w:tc>
        <w:tc>
          <w:tcPr>
            <w:tcW w:w="2995" w:type="dxa"/>
            <w:vAlign w:val="center"/>
          </w:tcPr>
          <w:p w14:paraId="5AAC5FF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每个repeat与rate的单调时钟偏移序列、请求映射和SHA-256</w:t>
            </w:r>
          </w:p>
        </w:tc>
        <w:tc>
          <w:tcPr>
            <w:tcW w:w="3700" w:type="dxa"/>
            <w:vAlign w:val="center"/>
          </w:tcPr>
          <w:p w14:paraId="3441EB9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B0/B1复用同一文件；不得运行时按seed重新生成</w:t>
            </w:r>
          </w:p>
        </w:tc>
      </w:tr>
      <w:tr w14:paraId="0F0BA2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2FBFBC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/configs/&lt;comparison_id&gt;/&lt;role&gt;/&lt;config_id&gt;/</w:t>
            </w:r>
          </w:p>
        </w:tc>
        <w:tc>
          <w:tcPr>
            <w:tcW w:w="2995" w:type="dxa"/>
            <w:vAlign w:val="center"/>
          </w:tcPr>
          <w:p w14:paraId="3FED47D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external-contract.json、normalized.json、server-argv.json、client-contract.json、env.json、checksums.txt</w:t>
            </w:r>
          </w:p>
        </w:tc>
        <w:tc>
          <w:tcPr>
            <w:tcW w:w="3700" w:type="dxa"/>
            <w:vAlign w:val="center"/>
          </w:tcPr>
          <w:p w14:paraId="475643F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comparison_id绑定comparison_type及两侧角色化合同；B0/B1 config_id分别绑定代码/镜像身份；目录只读</w:t>
            </w:r>
          </w:p>
        </w:tc>
      </w:tr>
      <w:tr w14:paraId="043093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0E721A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/extra/{E1,E2}/&lt;platform|model|topology&gt;/</w:t>
            </w:r>
          </w:p>
        </w:tc>
        <w:tc>
          <w:tcPr>
            <w:tcW w:w="2995" w:type="dxa"/>
            <w:vAlign w:val="center"/>
          </w:tcPr>
          <w:p w14:paraId="1CB3558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本版E1、E2-G、E2-D均为active=false、NOT_EXECUTED_OPTIONAL，不生成运行目录；后续新版本启用后，配置、数据引用、运行目录与报告按平台/模型/拓扑独立存放</w:t>
            </w:r>
          </w:p>
        </w:tc>
        <w:tc>
          <w:tcPr>
            <w:tcW w:w="3700" w:type="dxa"/>
            <w:vAlign w:val="center"/>
          </w:tcPr>
          <w:p w14:paraId="1F9A1BA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与必须交付目录物理隔离；不同平台/模型/拓扑的结果不得汇总为跨配置排序表</w:t>
            </w:r>
          </w:p>
        </w:tc>
      </w:tr>
      <w:tr w14:paraId="0852F4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670A9F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/runs/&lt;request_id&gt;/</w:t>
            </w:r>
          </w:p>
        </w:tc>
        <w:tc>
          <w:tcPr>
            <w:tcW w:w="2995" w:type="dxa"/>
            <w:vAlign w:val="center"/>
          </w:tcPr>
          <w:p w14:paraId="58E3B56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按target/role/repeat-N分层保存原始请求、响应、日志、监控、回执和判定结果</w:t>
            </w:r>
          </w:p>
        </w:tc>
        <w:tc>
          <w:tcPr>
            <w:tcW w:w="3700" w:type="dxa"/>
            <w:vAlign w:val="center"/>
          </w:tcPr>
          <w:p w14:paraId="78E6E39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每次运行新建目录；禁止覆盖、删除失败或复用旧输出</w:t>
            </w:r>
          </w:p>
        </w:tc>
      </w:tr>
      <w:tr w14:paraId="156373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C5EC46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/reports/ 与 /signatures/</w:t>
            </w:r>
          </w:p>
        </w:tc>
        <w:tc>
          <w:tcPr>
            <w:tcW w:w="2995" w:type="dxa"/>
            <w:vAlign w:val="center"/>
          </w:tcPr>
          <w:p w14:paraId="07D0891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正式报告、artifact-manifest.jcs、manifest.sha256、Ed25519签名、key-id和验签结果</w:t>
            </w:r>
          </w:p>
        </w:tc>
        <w:tc>
          <w:tcPr>
            <w:tcW w:w="3700" w:type="dxa"/>
            <w:vAlign w:val="center"/>
          </w:tcPr>
          <w:p w14:paraId="25CAACB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签名后关闭写入；任何字节变化均使验签失败</w:t>
            </w:r>
          </w:p>
        </w:tc>
      </w:tr>
    </w:tbl>
    <w:p w14:paraId="0A06880F">
      <w:pPr>
        <w:spacing w:before="40" w:after="40" w:line="560" w:lineRule="exact"/>
        <w:ind w:left="0" w:right="0" w:firstLine="0"/>
        <w:jc w:val="both"/>
      </w:pPr>
      <w:r>
        <w:t>表附-12 独立评测机建设与交付验收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D4909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7C2DEF1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验收阶段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3F8E30E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操作与固定要求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2BA0A1D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通过证据</w:t>
            </w:r>
          </w:p>
        </w:tc>
      </w:tr>
      <w:tr w14:paraId="3BBBAA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BC00D7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硬件盘点</w:t>
            </w:r>
          </w:p>
        </w:tc>
        <w:tc>
          <w:tcPr>
            <w:tcW w:w="2995" w:type="dxa"/>
            <w:vAlign w:val="center"/>
          </w:tcPr>
          <w:p w14:paraId="6A838F1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记录主机序列号、910B2设备序列号、卡数、HBM容量、CPU型号、NUMA、内存和磁盘；执行npu-smi info、lscpu -J、numactl -H、free -b、lsblk -J</w:t>
            </w:r>
          </w:p>
        </w:tc>
        <w:tc>
          <w:tcPr>
            <w:tcW w:w="3700" w:type="dxa"/>
            <w:vAlign w:val="center"/>
          </w:tcPr>
          <w:p w14:paraId="7DAC4CB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命令原始输出、设备拓扑图和hardware-manifest.json三者一致</w:t>
            </w:r>
          </w:p>
        </w:tc>
      </w:tr>
      <w:tr w14:paraId="3E7B11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717508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基础软件</w:t>
            </w:r>
          </w:p>
        </w:tc>
        <w:tc>
          <w:tcPr>
            <w:tcW w:w="2995" w:type="dxa"/>
            <w:vAlign w:val="center"/>
          </w:tcPr>
          <w:p w14:paraId="3B3EA47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记录OS、kernel、firmware、driver、CANN、Python、torch、torch_npu、容器运行时；版本由命令直接采集</w:t>
            </w:r>
          </w:p>
        </w:tc>
        <w:tc>
          <w:tcPr>
            <w:tcW w:w="3700" w:type="dxa"/>
            <w:vAlign w:val="center"/>
          </w:tcPr>
          <w:p w14:paraId="6AAE399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environment-manifest.json无空值；B0/B1使用同一宿主环境</w:t>
            </w:r>
          </w:p>
        </w:tc>
      </w:tr>
      <w:tr w14:paraId="6860DB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376147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目录与权限</w:t>
            </w:r>
          </w:p>
        </w:tc>
        <w:tc>
          <w:tcPr>
            <w:tcW w:w="2995" w:type="dxa"/>
            <w:vAlign w:val="center"/>
          </w:tcPr>
          <w:p w14:paraId="4078EB4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软件安装于/opt/vllm-hust-evaluation；配置位于/etc/vllm-hust-evaluation；模型、数据、队列和证据位于/data/vllm-hust-evaluation；服务账户无交互登录权限</w:t>
            </w:r>
          </w:p>
        </w:tc>
        <w:tc>
          <w:tcPr>
            <w:tcW w:w="3700" w:type="dxa"/>
            <w:vAlign w:val="center"/>
          </w:tcPr>
          <w:p w14:paraId="7F69C03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root拥有配置和签名私钥；worker只可写本次run目录；路径不存在或权限过宽即不通过</w:t>
            </w:r>
          </w:p>
        </w:tc>
      </w:tr>
      <w:tr w14:paraId="1A2FCD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CBEEFF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镜像与离线资产</w:t>
            </w:r>
          </w:p>
        </w:tc>
        <w:tc>
          <w:tcPr>
            <w:tcW w:w="2995" w:type="dxa"/>
            <w:vAlign w:val="center"/>
          </w:tcPr>
          <w:p w14:paraId="7D9C0D2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按OCI digest预拉取B0/B1镜像；模型、数据、oracle、arrival文件预置本地；正式阶段关闭在线下载</w:t>
            </w:r>
          </w:p>
        </w:tc>
        <w:tc>
          <w:tcPr>
            <w:tcW w:w="3700" w:type="dxa"/>
            <w:vAlign w:val="center"/>
          </w:tcPr>
          <w:p w14:paraId="0409C9C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离线状态完成全量SHA-256校验；缺资产时在启动前失败</w:t>
            </w:r>
          </w:p>
        </w:tc>
      </w:tr>
      <w:tr w14:paraId="42896C4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5E6CB5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资源独占</w:t>
            </w:r>
          </w:p>
        </w:tc>
        <w:tc>
          <w:tcPr>
            <w:tcW w:w="2995" w:type="dxa"/>
            <w:vAlign w:val="center"/>
          </w:tcPr>
          <w:p w14:paraId="367AC64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每张NPU使用进程锁和文件锁；分配前检查设备进程、显存、健康状态；正式任务不得终止或接管既有进程</w:t>
            </w:r>
          </w:p>
        </w:tc>
        <w:tc>
          <w:tcPr>
            <w:tcW w:w="3700" w:type="dxa"/>
            <w:vAlign w:val="center"/>
          </w:tcPr>
          <w:p w14:paraId="5BCD2C9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同一设备并发分配为0；资源忙保持QUEUED，不判代码失败</w:t>
            </w:r>
          </w:p>
        </w:tc>
      </w:tr>
      <w:tr w14:paraId="55B55C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0851C0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CPU与NUMA绑定</w:t>
            </w:r>
          </w:p>
        </w:tc>
        <w:tc>
          <w:tcPr>
            <w:tcW w:w="2995" w:type="dxa"/>
            <w:vAlign w:val="center"/>
          </w:tcPr>
          <w:p w14:paraId="09478F8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设备到NUMA和CPU核表由一次资格化生成并封存；OMP_NUM_THREADS和核表写入配置；正式测试不再扫描</w:t>
            </w:r>
          </w:p>
        </w:tc>
        <w:tc>
          <w:tcPr>
            <w:tcW w:w="3700" w:type="dxa"/>
            <w:vAlign w:val="center"/>
          </w:tcPr>
          <w:p w14:paraId="2D07FF5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启动回执记录实际亲和性；跨NUMA或核表不符即拒绝测量</w:t>
            </w:r>
          </w:p>
        </w:tc>
      </w:tr>
      <w:tr w14:paraId="4EEC15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AC6275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时间与监控</w:t>
            </w:r>
          </w:p>
        </w:tc>
        <w:tc>
          <w:tcPr>
            <w:tcW w:w="2995" w:type="dxa"/>
            <w:vAlign w:val="center"/>
          </w:tcPr>
          <w:p w14:paraId="0E2B481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系统时钟同步偏差不超过1 s；客户端和服务端使用CLOCK_MONOTONIC_RAW或等价单调时钟；NPU/HBM/CPU/RAM/磁盘每1 s采样</w:t>
            </w:r>
          </w:p>
        </w:tc>
        <w:tc>
          <w:tcPr>
            <w:tcW w:w="3700" w:type="dxa"/>
            <w:vAlign w:val="center"/>
          </w:tcPr>
          <w:p w14:paraId="4955D4B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time-receipt.json、监控原始序列连续；正式窗口缺点率不得超过0.1%</w:t>
            </w:r>
          </w:p>
        </w:tc>
      </w:tr>
      <w:tr w14:paraId="2C9BBC8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470852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服务与网络</w:t>
            </w:r>
          </w:p>
        </w:tc>
        <w:tc>
          <w:tcPr>
            <w:tcW w:w="2995" w:type="dxa"/>
            <w:vAlign w:val="center"/>
          </w:tcPr>
          <w:p w14:paraId="1F232C9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Evaluation API仅通过受控网络入口访问；模型API绑定调度器签发的本机隔离地址和端口；api_server_count=1；正式执行期间禁止外部流量</w:t>
            </w:r>
          </w:p>
        </w:tc>
        <w:tc>
          <w:tcPr>
            <w:tcW w:w="3700" w:type="dxa"/>
            <w:vAlign w:val="center"/>
          </w:tcPr>
          <w:p w14:paraId="1CEBD25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端口占用检查、访问控制测试、健康检查和审计日志通过</w:t>
            </w:r>
          </w:p>
        </w:tc>
      </w:tr>
      <w:tr w14:paraId="6503D1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5D5CFF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维护与恢复</w:t>
            </w:r>
          </w:p>
        </w:tc>
        <w:tc>
          <w:tcPr>
            <w:tcW w:w="2995" w:type="dxa"/>
            <w:vAlign w:val="center"/>
          </w:tcPr>
          <w:p w14:paraId="5EBA764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服务默认maintenance=true；完成配置校验与封存后按target启用；磁盘不足20%、设备异常、签名服务异常或时钟失同步自动进入维护模式</w:t>
            </w:r>
          </w:p>
        </w:tc>
        <w:tc>
          <w:tcPr>
            <w:tcW w:w="3700" w:type="dxa"/>
            <w:vAlign w:val="center"/>
          </w:tcPr>
          <w:p w14:paraId="4B06261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故障注入后停止接单且保留在途证据；恢复须人工复核并留审计记录</w:t>
            </w:r>
          </w:p>
        </w:tc>
      </w:tr>
      <w:tr w14:paraId="3442E0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7E572C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交付验收</w:t>
            </w:r>
          </w:p>
        </w:tc>
        <w:tc>
          <w:tcPr>
            <w:tcW w:w="2995" w:type="dxa"/>
            <w:vAlign w:val="center"/>
          </w:tcPr>
          <w:p w14:paraId="6743230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用虚构fixture验证鉴权、幂等、排队、取消、超时、锁、证据封存、签名和fail-closed；不得使用该结果作性能证据</w:t>
            </w:r>
          </w:p>
        </w:tc>
        <w:tc>
          <w:tcPr>
            <w:tcW w:w="3700" w:type="dxa"/>
            <w:vAlign w:val="center"/>
          </w:tcPr>
          <w:p w14:paraId="5724B78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建机验收单由建设方、测试方各一人复核；全部条目通过后方可接收正式请求</w:t>
            </w:r>
          </w:p>
        </w:tc>
      </w:tr>
    </w:tbl>
    <w:p w14:paraId="344E6D55">
      <w:pPr>
        <w:spacing w:before="40" w:after="40" w:line="560" w:lineRule="exact"/>
        <w:ind w:left="0" w:right="0" w:firstLine="0"/>
        <w:jc w:val="both"/>
      </w:pPr>
      <w:r>
        <w:t>表附-13 正式target与唯一配置版本结构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89CF7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1283A32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字段组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1C2CF7A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固定字段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65DA0DD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生成与拒绝规则</w:t>
            </w:r>
          </w:p>
        </w:tc>
      </w:tr>
      <w:tr w14:paraId="398D43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BBDC06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方案身份</w:t>
            </w:r>
          </w:p>
        </w:tc>
        <w:tc>
          <w:tcPr>
            <w:tcW w:w="2995" w:type="dxa"/>
            <w:vAlign w:val="center"/>
          </w:tcPr>
          <w:p w14:paraId="04A6F34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test_plan_version=V5.4；test_plan_sha256；registry_version；target_id；profile_id</w:t>
            </w:r>
          </w:p>
        </w:tc>
        <w:tc>
          <w:tcPr>
            <w:tcW w:w="3700" w:type="dxa"/>
            <w:vAlign w:val="center"/>
          </w:tcPr>
          <w:p w14:paraId="2544E3D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任一值不匹配registry即拒绝；方案升级必须生成新config_id</w:t>
            </w:r>
          </w:p>
        </w:tc>
      </w:tr>
      <w:tr w14:paraId="6EAF21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0E4662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比较身份</w:t>
            </w:r>
          </w:p>
        </w:tc>
        <w:tc>
          <w:tcPr>
            <w:tcW w:w="2995" w:type="dxa"/>
            <w:vAlign w:val="center"/>
          </w:tcPr>
          <w:p w14:paraId="75C6682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baseline_role仅B0或B1；comparison仅B0_vs_B1；B0 core/plugin固定为正文值；B1绑定本次交付exact SHA</w:t>
            </w:r>
          </w:p>
        </w:tc>
        <w:tc>
          <w:tcPr>
            <w:tcW w:w="3700" w:type="dxa"/>
            <w:vAlign w:val="center"/>
          </w:tcPr>
          <w:p w14:paraId="278AD72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B1不得取branch、tag或latest；dirty tree、未签提交或SHA空缺即拒绝</w:t>
            </w:r>
          </w:p>
        </w:tc>
      </w:tr>
      <w:tr w14:paraId="0CF85C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927919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镜像与模型</w:t>
            </w:r>
          </w:p>
        </w:tc>
        <w:tc>
          <w:tcPr>
            <w:tcW w:w="2995" w:type="dxa"/>
            <w:vAlign w:val="center"/>
          </w:tcPr>
          <w:p w14:paraId="416CC02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B0/B1 OCI repo digest、labels；模型revision、tokenizer revision、分片manifest SHA；BF16或W8A8 profile</w:t>
            </w:r>
          </w:p>
        </w:tc>
        <w:tc>
          <w:tcPr>
            <w:tcW w:w="3700" w:type="dxa"/>
            <w:vAlign w:val="center"/>
          </w:tcPr>
          <w:p w14:paraId="0266F8C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本地image ID或目录名不能替代digest/manifest；profile精度与表附-3不符即拒绝</w:t>
            </w:r>
          </w:p>
        </w:tc>
      </w:tr>
      <w:tr w14:paraId="5E62E7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DE9DF0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服务配置</w:t>
            </w:r>
          </w:p>
        </w:tc>
        <w:tc>
          <w:tcPr>
            <w:tcW w:w="2995" w:type="dxa"/>
            <w:vAlign w:val="center"/>
          </w:tcPr>
          <w:p w14:paraId="3AD2963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表附-2至表附-4全部规范化字段、完整compilation_config、环境变量和服务前端字段</w:t>
            </w:r>
          </w:p>
        </w:tc>
        <w:tc>
          <w:tcPr>
            <w:tcW w:w="3700" w:type="dxa"/>
            <w:vAlign w:val="center"/>
          </w:tcPr>
          <w:p w14:paraId="78100BC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所有字段必须显式出现；null表示有意关闭；不得采用版本默认值</w:t>
            </w:r>
          </w:p>
        </w:tc>
      </w:tr>
      <w:tr w14:paraId="7DC0C9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6F483F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客户端合同</w:t>
            </w:r>
          </w:p>
        </w:tc>
        <w:tc>
          <w:tcPr>
            <w:tcW w:w="2995" w:type="dxa"/>
            <w:vAlign w:val="center"/>
          </w:tcPr>
          <w:p w14:paraId="1F6C877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表附-5至表附-7全部请求字段、数据manifest、oracle、arrival、SLO、timeout和repeat</w:t>
            </w:r>
          </w:p>
        </w:tc>
        <w:tc>
          <w:tcPr>
            <w:tcW w:w="3700" w:type="dxa"/>
            <w:vAlign w:val="center"/>
          </w:tcPr>
          <w:p w14:paraId="291D44A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HTTP body只发送endpoint支持字段；同时保存normalized请求和rendered wire request</w:t>
            </w:r>
          </w:p>
        </w:tc>
      </w:tr>
      <w:tr w14:paraId="317167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36E5F7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调度字段</w:t>
            </w:r>
          </w:p>
        </w:tc>
        <w:tc>
          <w:tcPr>
            <w:tcW w:w="2995" w:type="dxa"/>
            <w:vAlign w:val="center"/>
          </w:tcPr>
          <w:p w14:paraId="607D6CD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priority、quota、requested_cards、exclusive=true、queue_timeout、run_timeout、idempotency_key</w:t>
            </w:r>
          </w:p>
        </w:tc>
        <w:tc>
          <w:tcPr>
            <w:tcW w:w="3700" w:type="dxa"/>
            <w:vAlign w:val="center"/>
          </w:tcPr>
          <w:p w14:paraId="6EC18FD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idempotency_key=SHA-256(requester+target_id+config_id+comparison+submission_nonce)；重复提交返回同一request_id</w:t>
            </w:r>
          </w:p>
        </w:tc>
      </w:tr>
      <w:tr w14:paraId="58492A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9CC0C9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动态回执</w:t>
            </w:r>
          </w:p>
        </w:tc>
        <w:tc>
          <w:tcPr>
            <w:tcW w:w="2995" w:type="dxa"/>
            <w:vAlign w:val="center"/>
          </w:tcPr>
          <w:p w14:paraId="76AD0E4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request_id、hostname、物理NPU序列号、设备号、端口、开始结束时间、CPU核表</w:t>
            </w:r>
          </w:p>
        </w:tc>
        <w:tc>
          <w:tcPr>
            <w:tcW w:w="3700" w:type="dxa"/>
            <w:vAlign w:val="center"/>
          </w:tcPr>
          <w:p w14:paraId="0B50A7B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不作为性能分组差异；必须签入证据包；调度器签发后不得由提交方改写</w:t>
            </w:r>
          </w:p>
        </w:tc>
      </w:tr>
      <w:tr w14:paraId="1076D0B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304" w:type="dxa"/>
            <w:vAlign w:val="center"/>
          </w:tcPr>
          <w:p w14:paraId="2CEC468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配置标识</w:t>
            </w:r>
          </w:p>
        </w:tc>
        <w:tc>
          <w:tcPr>
            <w:tcW w:w="2995" w:type="dxa"/>
            <w:vAlign w:val="center"/>
          </w:tcPr>
          <w:p w14:paraId="3C541A8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comparison_id=SHA-256(JCS({方案、comparison_type、硬件、两侧角色化模型/量化工件、固定服务配置、数据、请求、arrival、采样、SLO、质量、周期、成本口径}))；config_id=SHA-256(JCS({comparison_id、角色、代码、镜像、环境、角色化模型与量化字段}))</w:t>
            </w:r>
          </w:p>
        </w:tc>
        <w:tc>
          <w:tcPr>
            <w:tcW w:w="3700" w:type="dxa"/>
            <w:vAlign w:val="center"/>
          </w:tcPr>
          <w:p w14:paraId="60EF755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同一comparison_id的B0/B1角色合同必须匹配表附-1；BF16必测线除代码提交、镜像身份和角色标识外使用同一规范化配置；W8A8扩展仅允许固定工件、served_model_name和quantization三项按角色合同取值，不得现场增加其他差别或例外</w:t>
            </w:r>
          </w:p>
        </w:tc>
      </w:tr>
      <w:tr w14:paraId="5EC93D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6C59BA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激活门禁</w:t>
            </w:r>
          </w:p>
        </w:tc>
        <w:tc>
          <w:tcPr>
            <w:tcW w:w="2995" w:type="dxa"/>
            <w:vAlign w:val="center"/>
          </w:tcPr>
          <w:p w14:paraId="49D4A98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active=false为初始状态；完整资产校验、资格化回执、签名信任链和配置双人复核后改为true</w:t>
            </w:r>
          </w:p>
        </w:tc>
        <w:tc>
          <w:tcPr>
            <w:tcW w:w="3700" w:type="dxa"/>
            <w:vAlign w:val="center"/>
          </w:tcPr>
          <w:p w14:paraId="515913A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未完成任一前置项不得生成正式运行令牌；active状态变化写审计日志</w:t>
            </w:r>
          </w:p>
        </w:tc>
      </w:tr>
    </w:tbl>
    <w:p w14:paraId="2075E01A">
      <w:pPr>
        <w:spacing w:before="40" w:after="40" w:line="560" w:lineRule="exact"/>
        <w:ind w:left="0" w:right="0" w:firstLine="0"/>
        <w:jc w:val="both"/>
      </w:pPr>
      <w:r>
        <w:t>表附-14 服务启动、请求生成与生效值核验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727C78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434BF2F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步骤或字段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3D36F86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唯一映射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3A37A45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执行检查</w:t>
            </w:r>
          </w:p>
        </w:tc>
      </w:tr>
      <w:tr w14:paraId="154915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2C59DE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命令生成</w:t>
            </w:r>
          </w:p>
        </w:tc>
        <w:tc>
          <w:tcPr>
            <w:tcW w:w="2995" w:type="dxa"/>
            <w:vAlign w:val="center"/>
          </w:tcPr>
          <w:p w14:paraId="5A6A039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adapter读取normalized.json并生成argv数组，不拼接shell字符串；server-argv.json逐项保存参数名和值</w:t>
            </w:r>
          </w:p>
        </w:tc>
        <w:tc>
          <w:tcPr>
            <w:tcW w:w="3700" w:type="dxa"/>
            <w:vAlign w:val="center"/>
          </w:tcPr>
          <w:p w14:paraId="7BB03E4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未知字段、重复字段、不能映射字段或不支持的组合立即BLOCKED_CONFIG</w:t>
            </w:r>
          </w:p>
        </w:tc>
      </w:tr>
      <w:tr w14:paraId="719892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8D9349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模型与精度</w:t>
            </w:r>
          </w:p>
        </w:tc>
        <w:tc>
          <w:tcPr>
            <w:tcW w:w="2995" w:type="dxa"/>
            <w:vAlign w:val="center"/>
          </w:tcPr>
          <w:p w14:paraId="25E3AC1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model_path来自已校验manifest；dtype=bfloat16；BF16时quantization=null且不传量化参数；W8A8时传--quantization ascend</w:t>
            </w:r>
          </w:p>
        </w:tc>
        <w:tc>
          <w:tcPr>
            <w:tcW w:w="3700" w:type="dxa"/>
            <w:vAlign w:val="center"/>
          </w:tcPr>
          <w:p w14:paraId="122A7CA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启动回执必须分别显示dtype=bfloat16、quantization=None或ascend；与profile不符即停止</w:t>
            </w:r>
          </w:p>
        </w:tc>
      </w:tr>
      <w:tr w14:paraId="26A3EA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464FD2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并行与容量</w:t>
            </w:r>
          </w:p>
        </w:tc>
        <w:tc>
          <w:tcPr>
            <w:tcW w:w="2995" w:type="dxa"/>
            <w:vAlign w:val="center"/>
          </w:tcPr>
          <w:p w14:paraId="3887B0A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TP/PP/DP/DCP、block_size、max_model_len、gpu_memory_utilization、max_num_seqs、max_num_batched_tokens按表附-2和表附-3映射</w:t>
            </w:r>
          </w:p>
        </w:tc>
        <w:tc>
          <w:tcPr>
            <w:tcW w:w="3700" w:type="dxa"/>
            <w:vAlign w:val="center"/>
          </w:tcPr>
          <w:p w14:paraId="4DCEE78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服务日志和metrics导出的effective值逐项匹配；不允许自动缩小max_model_len或batch上限</w:t>
            </w:r>
          </w:p>
        </w:tc>
      </w:tr>
      <w:tr w14:paraId="2CC4212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5D376D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缓存与调度</w:t>
            </w:r>
          </w:p>
        </w:tc>
        <w:tc>
          <w:tcPr>
            <w:tcW w:w="2995" w:type="dxa"/>
            <w:vAlign w:val="center"/>
          </w:tcPr>
          <w:p w14:paraId="56E3783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prefix caching、chunked prefill、FCFS、swap=0、CPU offload=0、speculative/MTP和cudagraph严格按profile映射</w:t>
            </w:r>
          </w:p>
        </w:tc>
        <w:tc>
          <w:tcPr>
            <w:tcW w:w="3700" w:type="dxa"/>
            <w:vAlign w:val="center"/>
          </w:tcPr>
          <w:p w14:paraId="28AB795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未列出的推测解码、量化、缓存或图模式一律不得启用；不允许启动失败后降级</w:t>
            </w:r>
          </w:p>
        </w:tc>
      </w:tr>
      <w:tr w14:paraId="0BAFDA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86D6BA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OpenAI前端</w:t>
            </w:r>
          </w:p>
        </w:tc>
        <w:tc>
          <w:tcPr>
            <w:tcW w:w="2995" w:type="dxa"/>
            <w:vAlign w:val="center"/>
          </w:tcPr>
          <w:p w14:paraId="7864A6A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host和port由调度器签发；api_server_count=1；chat类endpoint=/v1/chat/completions；A1使用/v1/completions</w:t>
            </w:r>
          </w:p>
        </w:tc>
        <w:tc>
          <w:tcPr>
            <w:tcW w:w="3700" w:type="dxa"/>
            <w:vAlign w:val="center"/>
          </w:tcPr>
          <w:p w14:paraId="0E81F3B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health/startup/graceful-shutdown timeout均取配置值；端口和hostname仅记回执，不形成新规格</w:t>
            </w:r>
          </w:p>
        </w:tc>
      </w:tr>
      <w:tr w14:paraId="243072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A792CC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工具调用</w:t>
            </w:r>
          </w:p>
        </w:tc>
        <w:tc>
          <w:tcPr>
            <w:tcW w:w="2995" w:type="dxa"/>
            <w:vAlign w:val="center"/>
          </w:tcPr>
          <w:p w14:paraId="473CC4F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A2-TOOL和A4工具租户统一启用auto tool choice、同一tool_call_parser、plugin和chat_template；parallel_tool_calls=true</w:t>
            </w:r>
          </w:p>
        </w:tc>
        <w:tc>
          <w:tcPr>
            <w:tcW w:w="3700" w:type="dxa"/>
            <w:vAlign w:val="center"/>
          </w:tcPr>
          <w:p w14:paraId="7B4A9D8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B0/B1启动参数、模板字节和渲染token hash一致；非工具请求不发送tools相关字段</w:t>
            </w:r>
          </w:p>
        </w:tc>
      </w:tr>
      <w:tr w14:paraId="5A212A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A41DE8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结构化输出</w:t>
            </w:r>
          </w:p>
        </w:tc>
        <w:tc>
          <w:tcPr>
            <w:tcW w:w="2995" w:type="dxa"/>
            <w:vAlign w:val="center"/>
          </w:tcPr>
          <w:p w14:paraId="1245A85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structured_outputs_backend及disable_any_whitespace、disable_additional_properties在资格化后固定为具体值；禁止auto</w:t>
            </w:r>
          </w:p>
        </w:tc>
        <w:tc>
          <w:tcPr>
            <w:tcW w:w="3700" w:type="dxa"/>
            <w:vAlign w:val="center"/>
          </w:tcPr>
          <w:p w14:paraId="08FE30A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每次启动读取effective backend；每个请求保存response_format/json_schema原文和hash</w:t>
            </w:r>
          </w:p>
        </w:tc>
      </w:tr>
      <w:tr w14:paraId="179C2F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5653AF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规范化与wire字段</w:t>
            </w:r>
          </w:p>
        </w:tc>
        <w:tc>
          <w:tcPr>
            <w:tcW w:w="2995" w:type="dxa"/>
            <w:vAlign w:val="center"/>
          </w:tcPr>
          <w:p w14:paraId="4023C14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ignore_eos位于客户端：A1/A3=true，A2/A4=false；Completion与Chat分别按表附-5生成logprobs字段；best_of、detokenize等normalized-only字段不作为不支持的HTTP extra发送</w:t>
            </w:r>
          </w:p>
        </w:tc>
        <w:tc>
          <w:tcPr>
            <w:tcW w:w="3700" w:type="dxa"/>
            <w:vAlign w:val="center"/>
          </w:tcPr>
          <w:p w14:paraId="7F61107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保存每个唯一请求体、header白名单、rendered body及SHA-256；服务端静默忽略字段视为配置失败</w:t>
            </w:r>
          </w:p>
        </w:tc>
      </w:tr>
      <w:tr w14:paraId="088B61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6AE1EA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启动顺序</w:t>
            </w:r>
          </w:p>
        </w:tc>
        <w:tc>
          <w:tcPr>
            <w:tcW w:w="2995" w:type="dxa"/>
            <w:vAlign w:val="center"/>
          </w:tcPr>
          <w:p w14:paraId="09E225C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校验方案与资产→获取独占锁→写入env→生成argv→启动容器→轮询health→采集effective receipt→单请求连通性检查→预热→正式测量</w:t>
            </w:r>
          </w:p>
        </w:tc>
        <w:tc>
          <w:tcPr>
            <w:tcW w:w="3700" w:type="dxa"/>
            <w:vAlign w:val="center"/>
          </w:tcPr>
          <w:p w14:paraId="775C391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任一步失败不进入下一步；连通性请求单独标记commissioning，不混入统计</w:t>
            </w:r>
          </w:p>
        </w:tc>
      </w:tr>
      <w:tr w14:paraId="02D318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1D11DE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容量扫描</w:t>
            </w:r>
          </w:p>
        </w:tc>
        <w:tc>
          <w:tcPr>
            <w:tcW w:w="2995" w:type="dxa"/>
            <w:vAlign w:val="center"/>
          </w:tcPr>
          <w:p w14:paraId="044622A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只改变客户端arrival rate；服务进程、argv、env和config checksum在完整rate序列中保持字节一致；rate按表附-6升序且不回退</w:t>
            </w:r>
          </w:p>
        </w:tc>
        <w:tc>
          <w:tcPr>
            <w:tcW w:w="3700" w:type="dxa"/>
            <w:vAlign w:val="center"/>
          </w:tcPr>
          <w:p w14:paraId="35B5ACA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每个rate前后记录checksum；发现服务重启或参数变化则该生命周期无效并完整重跑</w:t>
            </w:r>
          </w:p>
        </w:tc>
      </w:tr>
    </w:tbl>
    <w:p w14:paraId="050AD03D">
      <w:pPr>
        <w:spacing w:before="40" w:after="40" w:line="560" w:lineRule="exact"/>
        <w:ind w:left="0" w:right="0" w:firstLine="0"/>
        <w:jc w:val="both"/>
      </w:pPr>
      <w:r>
        <w:t>表附-15 数据manifest、确定性选样与请求身份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0736F7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4CAE683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负载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4F87214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确定性规则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5C5BDAE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必须保存</w:t>
            </w:r>
          </w:p>
        </w:tc>
      </w:tr>
      <w:tr w14:paraId="1151CC0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9C5B38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统一规范</w:t>
            </w:r>
          </w:p>
        </w:tc>
        <w:tc>
          <w:tcPr>
            <w:tcW w:w="2995" w:type="dxa"/>
            <w:vAlign w:val="center"/>
          </w:tcPr>
          <w:p w14:paraId="42F9675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文本转UTF-8、Unicode NFC和LF；JSON按RFC 8785规范化；case_key=SHA-256(dataset_revision||case_id||normalized_content)；按case_key升序选取，不随机抽样</w:t>
            </w:r>
          </w:p>
        </w:tc>
        <w:tc>
          <w:tcPr>
            <w:tcW w:w="3700" w:type="dxa"/>
            <w:vAlign w:val="center"/>
          </w:tcPr>
          <w:p w14:paraId="686B64F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source URI、许可记录、revision、原文件SHA-256、过滤日志、入选与排除case清单</w:t>
            </w:r>
          </w:p>
        </w:tc>
      </w:tr>
      <w:tr w14:paraId="518AC36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162F44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通用问答/多轮</w:t>
            </w:r>
          </w:p>
        </w:tc>
        <w:tc>
          <w:tcPr>
            <w:tcW w:w="2995" w:type="dxa"/>
            <w:vAlign w:val="center"/>
          </w:tcPr>
          <w:p w14:paraId="74B8194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DIALOGUE-PUBLIC：合法公开或授权的完整指定分片，不少于20000条有效请求；保留非空user/assistant及原始顺序，最后assistant可仅作为标准答案移除；转换后以user结束；不按内容、语言、长度、主题或性能筛选</w:t>
            </w:r>
          </w:p>
        </w:tc>
        <w:tc>
          <w:tcPr>
            <w:tcW w:w="3700" w:type="dxa"/>
            <w:vAlign w:val="center"/>
          </w:tcPr>
          <w:p w14:paraId="6C7970E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数据名称、来源、许可、revision、原始数量、可执行数量、排除原因；requests与schedules文件、转换日志、messages、token IDs及总体hash</w:t>
            </w:r>
          </w:p>
        </w:tc>
      </w:tr>
      <w:tr w14:paraId="3B6F1D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F9EB5E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工具调用</w:t>
            </w:r>
          </w:p>
        </w:tc>
        <w:tc>
          <w:tcPr>
            <w:tcW w:w="2995" w:type="dxa"/>
            <w:vAlign w:val="center"/>
          </w:tcPr>
          <w:p w14:paraId="5C77AC5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TOOL-PUBLIC：不少于512个可判定用例；单工具、多工具/并行和多轮均有覆盖；真实tools schema必须可由冻结parser加载</w:t>
            </w:r>
          </w:p>
        </w:tc>
        <w:tc>
          <w:tcPr>
            <w:tcW w:w="3700" w:type="dxa"/>
            <w:vAlign w:val="center"/>
          </w:tcPr>
          <w:p w14:paraId="12F7269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全部case、tools原文、期望tool name/arguments、轮次状态、oracle、parser、覆盖统计和文件SHA-256</w:t>
            </w:r>
          </w:p>
        </w:tc>
      </w:tr>
      <w:tr w14:paraId="38A9BB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EF2ED5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推理</w:t>
            </w:r>
          </w:p>
        </w:tc>
        <w:tc>
          <w:tcPr>
            <w:tcW w:w="2995" w:type="dxa"/>
            <w:vAlign w:val="center"/>
          </w:tcPr>
          <w:p w14:paraId="4F31223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REASON-PUBLIC：不少于1000个确定答案用例；答案抽取失败、超时、空响应均计失败；不得按难度、题型或运行结果排除</w:t>
            </w:r>
          </w:p>
        </w:tc>
        <w:tc>
          <w:tcPr>
            <w:tcW w:w="3700" w:type="dxa"/>
            <w:vAlign w:val="center"/>
          </w:tcPr>
          <w:p w14:paraId="67C4E3A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全部题目、标准答案、抽取结果、原始文件SHA-256、ordered token hash及逐例结果</w:t>
            </w:r>
          </w:p>
        </w:tc>
      </w:tr>
      <w:tr w14:paraId="3D4906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7791E9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结构化输出</w:t>
            </w:r>
          </w:p>
        </w:tc>
        <w:tc>
          <w:tcPr>
            <w:tcW w:w="2995" w:type="dxa"/>
            <w:vAlign w:val="center"/>
          </w:tcPr>
          <w:p w14:paraId="68D0D7D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STRUCT-PUBLIC：不少于60个schema；覆盖对象、数组、枚举、嵌套、约束和引用；dialect及外部引用资格规则在执行前固定，全部入选schema均执行</w:t>
            </w:r>
          </w:p>
        </w:tc>
        <w:tc>
          <w:tcPr>
            <w:tcW w:w="3700" w:type="dxa"/>
            <w:vAlign w:val="center"/>
          </w:tcPr>
          <w:p w14:paraId="71065A8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schema原文、dialect、覆盖统计、资格化日志、prompt、校验器版本、渲染token hash及逐例结果</w:t>
            </w:r>
          </w:p>
        </w:tc>
      </w:tr>
      <w:tr w14:paraId="6D37D4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0DE2C7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A2长上下文容量</w:t>
            </w:r>
          </w:p>
        </w:tc>
        <w:tc>
          <w:tcPr>
            <w:tcW w:w="2995" w:type="dxa"/>
            <w:vAlign w:val="center"/>
          </w:tcPr>
          <w:p w14:paraId="21FA215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LONG-PUBLIC：不少于64篇具有可核验目标事实的授权文本；按document_id与内容hash排序，确定性窗口化生成16条8192+512和16条16384+1024；不使用随机token</w:t>
            </w:r>
          </w:p>
        </w:tc>
        <w:tc>
          <w:tcPr>
            <w:tcW w:w="3700" w:type="dxa"/>
            <w:vAlign w:val="center"/>
          </w:tcPr>
          <w:p w14:paraId="4B5B6E4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来源段落范围、拼接映射、截取边界、输入/目标token数、输出oracle和ordered hash</w:t>
            </w:r>
          </w:p>
        </w:tc>
      </w:tr>
      <w:tr w14:paraId="1FAEF6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CF02C0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A3 32K</w:t>
            </w:r>
          </w:p>
        </w:tc>
        <w:tc>
          <w:tcPr>
            <w:tcW w:w="2995" w:type="dxa"/>
            <w:vAlign w:val="center"/>
          </w:tcPr>
          <w:p w14:paraId="1627B06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LONG-PUBLIC确定性生成总上下文32768=30720输入+2048输出的最多64条请求；禁止把32768输入再附加输出</w:t>
            </w:r>
          </w:p>
        </w:tc>
        <w:tc>
          <w:tcPr>
            <w:tcW w:w="3700" w:type="dxa"/>
            <w:vAlign w:val="center"/>
          </w:tcPr>
          <w:p w14:paraId="197441E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每条输入精确token数、文档段落映射、最大64条清单、输出oracle和总体hash</w:t>
            </w:r>
          </w:p>
        </w:tc>
      </w:tr>
      <w:tr w14:paraId="61EF7D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F7DC7F1">
            <w:pPr>
              <w:jc w:val="both"/>
            </w:pPr>
            <w:r>
              <w:rPr>
                <w:sz w:val="19"/>
              </w:rPr>
              <w:t>代码</w:t>
            </w:r>
          </w:p>
        </w:tc>
        <w:tc>
          <w:tcPr>
            <w:tcW w:w="2769" w:type="dxa"/>
          </w:tcPr>
          <w:p w14:paraId="398F3283">
            <w:pPr>
              <w:jc w:val="both"/>
            </w:pPr>
            <w:r>
              <w:rPr>
                <w:sz w:val="19"/>
              </w:rPr>
              <w:t>CODE-GROUP：InstructCoder、LiveCodeBench三类split、HumanEval、MBPP和SyFi按冻结官方版本完整执行；PAIO-CODE-EVAL仅作扩展引用；OpenCode/SWE-bench生产优化轨迹单列。</w:t>
            </w:r>
          </w:p>
        </w:tc>
        <w:tc>
          <w:tcPr>
            <w:tcW w:w="2769" w:type="dxa"/>
          </w:tcPr>
          <w:p w14:paraId="2F47426C">
            <w:pPr>
              <w:jc w:val="both"/>
            </w:pPr>
            <w:r>
              <w:rPr>
                <w:sz w:val="19"/>
              </w:rPr>
              <w:t>原始任务与测试、编译器/容器、官方scorer版本、逐例代码/编译/测试结果、失败类型、token与时延、文件和结果SHA-256</w:t>
            </w:r>
          </w:p>
        </w:tc>
      </w:tr>
      <w:tr w14:paraId="729FD9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50298C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A4多租户</w:t>
            </w:r>
          </w:p>
        </w:tc>
        <w:tc>
          <w:tcPr>
            <w:tcW w:w="2995" w:type="dxa"/>
            <w:vAlign w:val="center"/>
          </w:tcPr>
          <w:p w14:paraId="142257C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五租户分别引用已冻结的dialogue、tool/agent、reasoning、structured、code清单；按目标输出token投递份额各20%；同一物理数据不复制、不重新抽样</w:t>
            </w:r>
          </w:p>
        </w:tc>
        <w:tc>
          <w:tcPr>
            <w:tcW w:w="3700" w:type="dxa"/>
            <w:vAlign w:val="center"/>
          </w:tcPr>
          <w:p w14:paraId="1A1E182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dataset_id、tenant、record/session标签、目标token预算、预生成arrival时间戳、request_id和case_id一一对应表</w:t>
            </w:r>
          </w:p>
        </w:tc>
      </w:tr>
      <w:tr w14:paraId="3127F3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A132B8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token与截断</w:t>
            </w:r>
          </w:p>
        </w:tc>
        <w:tc>
          <w:tcPr>
            <w:tcW w:w="2995" w:type="dxa"/>
            <w:vAlign w:val="center"/>
          </w:tcPr>
          <w:p w14:paraId="326973C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只用冻结tokenizer、chat_template和template kwargs渲染；add_special_tokens及generation prompt按表附-5；truncate_prompt_tokens=null，任何超长样本在资产制作阶段排除</w:t>
            </w:r>
          </w:p>
        </w:tc>
        <w:tc>
          <w:tcPr>
            <w:tcW w:w="3700" w:type="dxa"/>
            <w:vAlign w:val="center"/>
          </w:tcPr>
          <w:p w14:paraId="2A1AD23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原始内容hash、rendered body hash、ordered token IDs hash和实际服务端prompt token计数</w:t>
            </w:r>
          </w:p>
        </w:tc>
      </w:tr>
      <w:tr w14:paraId="410539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D133CA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复用规则</w:t>
            </w:r>
          </w:p>
        </w:tc>
        <w:tc>
          <w:tcPr>
            <w:tcW w:w="2995" w:type="dxa"/>
            <w:vAlign w:val="center"/>
          </w:tcPr>
          <w:p w14:paraId="01F63BA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同一cell、rate和repeat的B0/B1使用同一ordered case和arrival文件；case循环到request cap，不重抽、不重排</w:t>
            </w:r>
          </w:p>
        </w:tc>
        <w:tc>
          <w:tcPr>
            <w:tcW w:w="3700" w:type="dxa"/>
            <w:vAlign w:val="center"/>
          </w:tcPr>
          <w:p w14:paraId="17F5C57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每个请求的case序号、名义发送时刻、实际发送时刻、send lag和响应关联ID</w:t>
            </w:r>
          </w:p>
        </w:tc>
      </w:tr>
    </w:tbl>
    <w:p w14:paraId="5CD92178">
      <w:pPr>
        <w:spacing w:before="40" w:after="40" w:line="560" w:lineRule="exact"/>
        <w:ind w:left="0" w:right="0" w:firstLine="0"/>
        <w:jc w:val="both"/>
      </w:pPr>
      <w:r>
        <w:t>表附-16 评测任务状态机、排队与生命周期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218DC2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35193CB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状态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1B6132D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进入与退出条件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627A553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系统动作</w:t>
            </w:r>
          </w:p>
        </w:tc>
      </w:tr>
      <w:tr w14:paraId="7F2FAD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9D80B5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RECEIVED</w:t>
            </w:r>
          </w:p>
        </w:tc>
        <w:tc>
          <w:tcPr>
            <w:tcW w:w="2995" w:type="dxa"/>
            <w:vAlign w:val="center"/>
          </w:tcPr>
          <w:p w14:paraId="68E2854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API鉴权、请求签名和幂等检查通过后进入VALIDATING</w:t>
            </w:r>
          </w:p>
        </w:tc>
        <w:tc>
          <w:tcPr>
            <w:tcW w:w="3700" w:type="dxa"/>
            <w:vAlign w:val="center"/>
          </w:tcPr>
          <w:p w14:paraId="52096CC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生成request_id；原始请求只读保存</w:t>
            </w:r>
          </w:p>
        </w:tc>
      </w:tr>
      <w:tr w14:paraId="09DD4C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8068E1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VALIDATING</w:t>
            </w:r>
          </w:p>
        </w:tc>
        <w:tc>
          <w:tcPr>
            <w:tcW w:w="2995" w:type="dxa"/>
            <w:vAlign w:val="center"/>
          </w:tcPr>
          <w:p w14:paraId="49B5A40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校验test_plan_sha256、target active、config_id、资产、OCI、签名信任链和配额</w:t>
            </w:r>
          </w:p>
        </w:tc>
        <w:tc>
          <w:tcPr>
            <w:tcW w:w="3700" w:type="dxa"/>
            <w:vAlign w:val="center"/>
          </w:tcPr>
          <w:p w14:paraId="2E853D3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任一缺失转BLOCKED_CONFIG；不得生成启动命令</w:t>
            </w:r>
          </w:p>
        </w:tc>
      </w:tr>
      <w:tr w14:paraId="5A29D8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8255BA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QUEUED</w:t>
            </w:r>
          </w:p>
        </w:tc>
        <w:tc>
          <w:tcPr>
            <w:tcW w:w="2995" w:type="dxa"/>
            <w:vAlign w:val="center"/>
          </w:tcPr>
          <w:p w14:paraId="2840463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校验通过但资源尚未分配；按priority、提交时间排序</w:t>
            </w:r>
          </w:p>
        </w:tc>
        <w:tc>
          <w:tcPr>
            <w:tcW w:w="3700" w:type="dxa"/>
            <w:vAlign w:val="center"/>
          </w:tcPr>
          <w:p w14:paraId="7D7DA98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资源忙保持QUEUED；排队不计run timeout；心跳和队列位置可查询</w:t>
            </w:r>
          </w:p>
        </w:tc>
      </w:tr>
      <w:tr w14:paraId="404C2C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1DBA7E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ALLOCATING</w:t>
            </w:r>
          </w:p>
        </w:tc>
        <w:tc>
          <w:tcPr>
            <w:tcW w:w="2995" w:type="dxa"/>
            <w:vAlign w:val="center"/>
          </w:tcPr>
          <w:p w14:paraId="6C5016D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取得所需NPU与CPU独占锁并完成设备预检后进入STARTING</w:t>
            </w:r>
          </w:p>
        </w:tc>
        <w:tc>
          <w:tcPr>
            <w:tcW w:w="3700" w:type="dxa"/>
            <w:vAlign w:val="center"/>
          </w:tcPr>
          <w:p w14:paraId="0E7BD31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锁冲突回QUEUED；设备异常转INFRA_FAILED并进入维护模式</w:t>
            </w:r>
          </w:p>
        </w:tc>
      </w:tr>
      <w:tr w14:paraId="314DBC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2FB887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STARTING</w:t>
            </w:r>
          </w:p>
        </w:tc>
        <w:tc>
          <w:tcPr>
            <w:tcW w:w="2995" w:type="dxa"/>
            <w:vAlign w:val="center"/>
          </w:tcPr>
          <w:p w14:paraId="2B8B579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按表附-14启动并在startup timeout内通过health和effective receipt</w:t>
            </w:r>
          </w:p>
        </w:tc>
        <w:tc>
          <w:tcPr>
            <w:tcW w:w="3700" w:type="dxa"/>
            <w:vAlign w:val="center"/>
          </w:tcPr>
          <w:p w14:paraId="6EA8524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启动错误或参数不符停止服务；保留完整日志；不得改参重启</w:t>
            </w:r>
          </w:p>
        </w:tc>
      </w:tr>
      <w:tr w14:paraId="1DC781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45F089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WARMUP</w:t>
            </w:r>
          </w:p>
        </w:tc>
        <w:tc>
          <w:tcPr>
            <w:tcW w:w="2995" w:type="dxa"/>
            <w:vAlign w:val="center"/>
          </w:tcPr>
          <w:p w14:paraId="777EC1B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连通性检查通过后执行本cell固定预热；预热数据单独标记</w:t>
            </w:r>
          </w:p>
        </w:tc>
        <w:tc>
          <w:tcPr>
            <w:tcW w:w="3700" w:type="dxa"/>
            <w:vAlign w:val="center"/>
          </w:tcPr>
          <w:p w14:paraId="6455DA3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预热结束清零测量计数但不删除日志；预热失败按正式失败保留</w:t>
            </w:r>
          </w:p>
        </w:tc>
      </w:tr>
      <w:tr w14:paraId="0360B5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669605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MEASURING</w:t>
            </w:r>
          </w:p>
        </w:tc>
        <w:tc>
          <w:tcPr>
            <w:tcW w:w="2995" w:type="dxa"/>
            <w:vAlign w:val="center"/>
          </w:tcPr>
          <w:p w14:paraId="06EA256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按冻结arrival、时长、request cap和timeout执行；每30 s写心跳</w:t>
            </w:r>
          </w:p>
        </w:tc>
        <w:tc>
          <w:tcPr>
            <w:tcW w:w="3700" w:type="dxa"/>
            <w:vAlign w:val="center"/>
          </w:tcPr>
          <w:p w14:paraId="2D11D54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心跳中断120 s转INFRA_FAILED；请求失败、OOM和截断计入本次结果</w:t>
            </w:r>
          </w:p>
        </w:tc>
      </w:tr>
      <w:tr w14:paraId="154760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E98C19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STOPPING</w:t>
            </w:r>
          </w:p>
        </w:tc>
        <w:tc>
          <w:tcPr>
            <w:tcW w:w="2995" w:type="dxa"/>
            <w:vAlign w:val="center"/>
          </w:tcPr>
          <w:p w14:paraId="7BA3DE4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测量结束、失败、超时或取消后执行优雅停止；超时后强制终止仅限本任务进程</w:t>
            </w:r>
          </w:p>
        </w:tc>
        <w:tc>
          <w:tcPr>
            <w:tcW w:w="3700" w:type="dxa"/>
            <w:vAlign w:val="center"/>
          </w:tcPr>
          <w:p w14:paraId="3B8B958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记录退出码、残留进程和释放时间；不得影响其他任务</w:t>
            </w:r>
          </w:p>
        </w:tc>
      </w:tr>
      <w:tr w14:paraId="3864E3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86FA84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PACKAGING/SIGNING</w:t>
            </w:r>
          </w:p>
        </w:tc>
        <w:tc>
          <w:tcPr>
            <w:tcW w:w="2995" w:type="dxa"/>
            <w:vAlign w:val="center"/>
          </w:tcPr>
          <w:p w14:paraId="5086DB5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关闭运行目录写入，生成artifact manifest、复算全部hash并由服务端签名</w:t>
            </w:r>
          </w:p>
        </w:tc>
        <w:tc>
          <w:tcPr>
            <w:tcW w:w="3700" w:type="dxa"/>
            <w:vAlign w:val="center"/>
          </w:tcPr>
          <w:p w14:paraId="0D51378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证据缺失转FAILED_EVIDENCE；签名后目录不可修改</w:t>
            </w:r>
          </w:p>
        </w:tc>
      </w:tr>
      <w:tr w14:paraId="31690D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40F0D0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VERIFIED</w:t>
            </w:r>
          </w:p>
        </w:tc>
        <w:tc>
          <w:tcPr>
            <w:tcW w:w="2995" w:type="dxa"/>
            <w:vAlign w:val="center"/>
          </w:tcPr>
          <w:p w14:paraId="022976E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公钥、有效期、撤销状态和全部artifact hash校验通过</w:t>
            </w:r>
          </w:p>
        </w:tc>
        <w:tc>
          <w:tcPr>
            <w:tcW w:w="3700" w:type="dxa"/>
            <w:vAlign w:val="center"/>
          </w:tcPr>
          <w:p w14:paraId="77629F7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按表附-18运行自动判定；只有此状态可进入报告</w:t>
            </w:r>
          </w:p>
        </w:tc>
      </w:tr>
      <w:tr w14:paraId="29F0E9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69BE37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PASSED/FAILED</w:t>
            </w:r>
          </w:p>
        </w:tc>
        <w:tc>
          <w:tcPr>
            <w:tcW w:w="2995" w:type="dxa"/>
            <w:vAlign w:val="center"/>
          </w:tcPr>
          <w:p w14:paraId="3D70B8D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所有硬门槛通过为PASSED；任一硬门槛失败为FAILED</w:t>
            </w:r>
          </w:p>
        </w:tc>
        <w:tc>
          <w:tcPr>
            <w:tcW w:w="3700" w:type="dxa"/>
            <w:vAlign w:val="center"/>
          </w:tcPr>
          <w:p w14:paraId="4862380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失败不自动重跑、不替换、不从中位数集合删除</w:t>
            </w:r>
          </w:p>
        </w:tc>
      </w:tr>
      <w:tr w14:paraId="09E41F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4AAD77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BLOCKED_CONFIG/INFRA_FAILED/CANCELLED/TIMEOUT</w:t>
            </w:r>
          </w:p>
        </w:tc>
        <w:tc>
          <w:tcPr>
            <w:tcW w:w="2995" w:type="dxa"/>
            <w:vAlign w:val="center"/>
          </w:tcPr>
          <w:p w14:paraId="590CA50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分别表示配置不完整、设施故障、授权取消和运行超时</w:t>
            </w:r>
          </w:p>
        </w:tc>
        <w:tc>
          <w:tcPr>
            <w:tcW w:w="3700" w:type="dxa"/>
            <w:vAlign w:val="center"/>
          </w:tcPr>
          <w:p w14:paraId="50CC88A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均不得放行merge/release；修复后创建新attempt并保留原attempt；仍须取得3次有效生命周期</w:t>
            </w:r>
          </w:p>
        </w:tc>
      </w:tr>
    </w:tbl>
    <w:p w14:paraId="313B4D21">
      <w:pPr>
        <w:spacing w:before="40" w:after="40" w:line="560" w:lineRule="exact"/>
        <w:ind w:left="0" w:right="0" w:firstLine="0"/>
        <w:jc w:val="both"/>
      </w:pPr>
      <w:r>
        <w:t>表附-17 异常分类与复测处置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365155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2451C6A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异常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52B877D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分类与当次结论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08B6A4C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处置</w:t>
            </w:r>
          </w:p>
        </w:tc>
      </w:tr>
      <w:tr w14:paraId="631CF2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7359D8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hash、digest、revision或签名不符</w:t>
            </w:r>
          </w:p>
        </w:tc>
        <w:tc>
          <w:tcPr>
            <w:tcW w:w="2995" w:type="dxa"/>
            <w:vAlign w:val="center"/>
          </w:tcPr>
          <w:p w14:paraId="469569C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BLOCKED_CONFIG；未开始正式测量</w:t>
            </w:r>
          </w:p>
        </w:tc>
        <w:tc>
          <w:tcPr>
            <w:tcW w:w="3700" w:type="dxa"/>
            <w:vAlign w:val="center"/>
          </w:tcPr>
          <w:p w14:paraId="18AAD17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更正资产或发布新config_id；禁止绕过校验</w:t>
            </w:r>
          </w:p>
        </w:tc>
      </w:tr>
      <w:tr w14:paraId="1106EE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AE7DC3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未知CLI、字段被忽略、effective值不符</w:t>
            </w:r>
          </w:p>
        </w:tc>
        <w:tc>
          <w:tcPr>
            <w:tcW w:w="2995" w:type="dxa"/>
            <w:vAlign w:val="center"/>
          </w:tcPr>
          <w:p w14:paraId="733837E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BLOCKED_CONFIG；配置不可执行</w:t>
            </w:r>
          </w:p>
        </w:tc>
        <w:tc>
          <w:tcPr>
            <w:tcW w:w="3700" w:type="dxa"/>
            <w:vAlign w:val="center"/>
          </w:tcPr>
          <w:p w14:paraId="347E07F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修订adapter或方案版本；不得删除字段、采用默认值或降级启动</w:t>
            </w:r>
          </w:p>
        </w:tc>
      </w:tr>
      <w:tr w14:paraId="731791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35C377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服务启动失败或不健康</w:t>
            </w:r>
          </w:p>
        </w:tc>
        <w:tc>
          <w:tcPr>
            <w:tcW w:w="2995" w:type="dxa"/>
            <w:vAlign w:val="center"/>
          </w:tcPr>
          <w:p w14:paraId="17333FE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固定配置导致则FAILED；宿主故障导致则INFRA_FAILED</w:t>
            </w:r>
          </w:p>
        </w:tc>
        <w:tc>
          <w:tcPr>
            <w:tcW w:w="3700" w:type="dxa"/>
            <w:vAlign w:val="center"/>
          </w:tcPr>
          <w:p w14:paraId="25BCBB6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依据启动日志和设备健康证据分类；任何复测均保留原attempt</w:t>
            </w:r>
          </w:p>
        </w:tc>
      </w:tr>
      <w:tr w14:paraId="6BEE98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5DD008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OOM、死锁、进程退出、请求错误</w:t>
            </w:r>
          </w:p>
        </w:tc>
        <w:tc>
          <w:tcPr>
            <w:tcW w:w="2995" w:type="dxa"/>
            <w:vAlign w:val="center"/>
          </w:tcPr>
          <w:p w14:paraId="045B5D0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工作负载触发时计测试失败</w:t>
            </w:r>
          </w:p>
        </w:tc>
        <w:tc>
          <w:tcPr>
            <w:tcW w:w="3700" w:type="dxa"/>
            <w:vAlign w:val="center"/>
          </w:tcPr>
          <w:p w14:paraId="5F0C32E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不得降低并发、长度、显存利用率或改精度；停止该生命周期并完整留证</w:t>
            </w:r>
          </w:p>
        </w:tc>
      </w:tr>
      <w:tr w14:paraId="5BE35F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F58660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静默截断、token数不符、非法协议</w:t>
            </w:r>
          </w:p>
        </w:tc>
        <w:tc>
          <w:tcPr>
            <w:tcW w:w="2995" w:type="dxa"/>
            <w:vAlign w:val="center"/>
          </w:tcPr>
          <w:p w14:paraId="455FD57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对应请求失败；触发质量或正确性门槛</w:t>
            </w:r>
          </w:p>
        </w:tc>
        <w:tc>
          <w:tcPr>
            <w:tcW w:w="3700" w:type="dxa"/>
            <w:vAlign w:val="center"/>
          </w:tcPr>
          <w:p w14:paraId="2CF5861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保存wire request、原始响应和token计数；修复后从repeat 1完整重跑</w:t>
            </w:r>
          </w:p>
        </w:tc>
      </w:tr>
      <w:tr w14:paraId="2DBE9B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7834FF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客户端迟发或并发饱和</w:t>
            </w:r>
          </w:p>
        </w:tc>
        <w:tc>
          <w:tcPr>
            <w:tcW w:w="2995" w:type="dxa"/>
            <w:vAlign w:val="center"/>
          </w:tcPr>
          <w:p w14:paraId="0C81FBB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请求进入本地FIFO，保留名义时间与send lag；不丢弃、不重排、不突发追赶</w:t>
            </w:r>
          </w:p>
        </w:tc>
        <w:tc>
          <w:tcPr>
            <w:tcW w:w="3700" w:type="dxa"/>
            <w:vAlign w:val="center"/>
          </w:tcPr>
          <w:p w14:paraId="6B4F745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超过cell timeout计失败；不得以实际发送速率替代名义投递负载</w:t>
            </w:r>
          </w:p>
        </w:tc>
      </w:tr>
      <w:tr w14:paraId="3DD285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94498A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监控缺失或采样断点超过0.1%</w:t>
            </w:r>
          </w:p>
        </w:tc>
        <w:tc>
          <w:tcPr>
            <w:tcW w:w="2995" w:type="dxa"/>
            <w:vAlign w:val="center"/>
          </w:tcPr>
          <w:p w14:paraId="0B996E5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FAILED_EVIDENCE；利用率、稳定性和成本不可判</w:t>
            </w:r>
          </w:p>
        </w:tc>
        <w:tc>
          <w:tcPr>
            <w:tcW w:w="3700" w:type="dxa"/>
            <w:vAlign w:val="center"/>
          </w:tcPr>
          <w:p w14:paraId="1A60DA4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修复采集链后新建attempt；原性能数据不得单独采用</w:t>
            </w:r>
          </w:p>
        </w:tc>
      </w:tr>
      <w:tr w14:paraId="5DBD42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E08A81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磁盘满、掉卡、宿主重启、时钟异常、网络中断</w:t>
            </w:r>
          </w:p>
        </w:tc>
        <w:tc>
          <w:tcPr>
            <w:tcW w:w="2995" w:type="dxa"/>
            <w:vAlign w:val="center"/>
          </w:tcPr>
          <w:p w14:paraId="1FF101C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INFRA_FAILED</w:t>
            </w:r>
          </w:p>
        </w:tc>
        <w:tc>
          <w:tcPr>
            <w:tcW w:w="3700" w:type="dxa"/>
            <w:vAlign w:val="center"/>
          </w:tcPr>
          <w:p w14:paraId="2222279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进入维护模式；恢复检查通过后增加replacement attempt，不覆盖原记录</w:t>
            </w:r>
          </w:p>
        </w:tc>
      </w:tr>
      <w:tr w14:paraId="1F4E68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7539F2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三次结果波动异常</w:t>
            </w:r>
          </w:p>
        </w:tc>
        <w:tc>
          <w:tcPr>
            <w:tcW w:w="2995" w:type="dxa"/>
            <w:vAlign w:val="center"/>
          </w:tcPr>
          <w:p w14:paraId="40DCBC6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原三次全部保留；按正文方差规则最多追加2次</w:t>
            </w:r>
          </w:p>
        </w:tc>
        <w:tc>
          <w:tcPr>
            <w:tcW w:w="3700" w:type="dxa"/>
            <w:vAlign w:val="center"/>
          </w:tcPr>
          <w:p w14:paraId="42A0B27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追加不能替换原值；中位数从预声明完整集合计算，不挑最好</w:t>
            </w:r>
          </w:p>
        </w:tc>
      </w:tr>
      <w:tr w14:paraId="7ADF05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18D4C2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人工取消</w:t>
            </w:r>
          </w:p>
        </w:tc>
        <w:tc>
          <w:tcPr>
            <w:tcW w:w="2995" w:type="dxa"/>
            <w:vAlign w:val="center"/>
          </w:tcPr>
          <w:p w14:paraId="20ABE66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CANCELLED，未通过</w:t>
            </w:r>
          </w:p>
        </w:tc>
        <w:tc>
          <w:tcPr>
            <w:tcW w:w="3700" w:type="dxa"/>
            <w:vAlign w:val="center"/>
          </w:tcPr>
          <w:p w14:paraId="224A1C0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保留取消人、原因和时间；重新执行须创建新attempt并从服务冷启动开始</w:t>
            </w:r>
          </w:p>
        </w:tc>
      </w:tr>
      <w:tr w14:paraId="7C55CDD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7FC622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B0与B1请求、arrival或出现表附-1未明确列出的配置差别</w:t>
            </w:r>
          </w:p>
        </w:tc>
        <w:tc>
          <w:tcPr>
            <w:tcW w:w="2995" w:type="dxa"/>
            <w:vAlign w:val="center"/>
          </w:tcPr>
          <w:p w14:paraId="378F5AF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比较无效，BLOCKED_CONFIG</w:t>
            </w:r>
          </w:p>
        </w:tc>
        <w:tc>
          <w:tcPr>
            <w:tcW w:w="3700" w:type="dxa"/>
            <w:vAlign w:val="center"/>
          </w:tcPr>
          <w:p w14:paraId="2E0881E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重新生成同一config version下的两侧合同；不得对结果做事后归一化</w:t>
            </w:r>
          </w:p>
        </w:tc>
      </w:tr>
      <w:tr w14:paraId="0B56F2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4E8EA0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证据包验签失败</w:t>
            </w:r>
          </w:p>
        </w:tc>
        <w:tc>
          <w:tcPr>
            <w:tcW w:w="2995" w:type="dxa"/>
            <w:vAlign w:val="center"/>
          </w:tcPr>
          <w:p w14:paraId="1A1A491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FAILED_EVIDENCE</w:t>
            </w:r>
          </w:p>
        </w:tc>
        <w:tc>
          <w:tcPr>
            <w:tcW w:w="3700" w:type="dxa"/>
            <w:vAlign w:val="center"/>
          </w:tcPr>
          <w:p w14:paraId="0EB3940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禁止进入验收报告、snapshot或website；从原始只读副本重新封包并保留失败包</w:t>
            </w:r>
          </w:p>
        </w:tc>
      </w:tr>
    </w:tbl>
    <w:p w14:paraId="0D0DF6F1">
      <w:pPr>
        <w:spacing w:before="40" w:after="40" w:line="560" w:lineRule="exact"/>
        <w:ind w:left="0" w:right="0" w:firstLine="0"/>
        <w:jc w:val="both"/>
      </w:pPr>
      <w:r>
        <w:t>表附-18 指标计算、重复选择与自动判定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5C58EF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46B7906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指标或步骤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355D166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计算规则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75884F0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判定约束</w:t>
            </w:r>
          </w:p>
        </w:tc>
      </w:tr>
      <w:tr w14:paraId="00CE59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BF1F16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时间基准</w:t>
            </w:r>
          </w:p>
        </w:tc>
        <w:tc>
          <w:tcPr>
            <w:tcW w:w="2995" w:type="dxa"/>
            <w:vAlign w:val="center"/>
          </w:tcPr>
          <w:p w14:paraId="53F2E77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所有时间戳使用单调时钟纳秒值；latency=t_last_response−t_actual_send；TTFT=t_first_token−t_actual_send；output_tokens含服务返回的全部生成token</w:t>
            </w:r>
          </w:p>
        </w:tc>
        <w:tc>
          <w:tcPr>
            <w:tcW w:w="3700" w:type="dxa"/>
            <w:vAlign w:val="center"/>
          </w:tcPr>
          <w:p w14:paraId="3B4D804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不得用墙钟跨主机相减；排队send lag另报，不从服务时延中删除</w:t>
            </w:r>
          </w:p>
        </w:tc>
      </w:tr>
      <w:tr w14:paraId="0836A1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FA64FA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TPOT</w:t>
            </w:r>
          </w:p>
        </w:tc>
        <w:tc>
          <w:tcPr>
            <w:tcW w:w="2995" w:type="dxa"/>
            <w:vAlign w:val="center"/>
          </w:tcPr>
          <w:p w14:paraId="59815A9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output_tokens&gt;1时，TPOT=(t_last_token−t_first_token)/(output_tokens−1)；output_tokens=1时记not_applicable</w:t>
            </w:r>
          </w:p>
        </w:tc>
        <w:tc>
          <w:tcPr>
            <w:tcW w:w="3700" w:type="dxa"/>
            <w:vAlign w:val="center"/>
          </w:tcPr>
          <w:p w14:paraId="3D04400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单位统一ms/token；不得以ITL均值替代，原始token时间戳同时保留</w:t>
            </w:r>
          </w:p>
        </w:tc>
      </w:tr>
      <w:tr w14:paraId="4B75226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715C0A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吞吐与goodput</w:t>
            </w:r>
          </w:p>
        </w:tc>
        <w:tc>
          <w:tcPr>
            <w:tcW w:w="2995" w:type="dxa"/>
            <w:vAlign w:val="center"/>
          </w:tcPr>
          <w:p w14:paraId="077C6B7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output TPS=成功输出token总数/测量墙钟秒；request TPS=成功请求数/测量墙钟秒；SLO goodput=同时满足正确性和该cell全部SLO的请求数/秒</w:t>
            </w:r>
          </w:p>
        </w:tc>
        <w:tc>
          <w:tcPr>
            <w:tcW w:w="3700" w:type="dxa"/>
            <w:vAlign w:val="center"/>
          </w:tcPr>
          <w:p w14:paraId="5448B75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预热、cooldown不入分母；正式窗口内错误请求占用的时间不得扣除</w:t>
            </w:r>
          </w:p>
        </w:tc>
      </w:tr>
      <w:tr w14:paraId="664ADA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13B6C1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分位数</w:t>
            </w:r>
          </w:p>
        </w:tc>
        <w:tc>
          <w:tcPr>
            <w:tcW w:w="2995" w:type="dxa"/>
            <w:vAlign w:val="center"/>
          </w:tcPr>
          <w:p w14:paraId="638E4CD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对请求级指标升序排列，采用nearest-rank：rank=ceil(p×N)，取第rank个值；报告mean、p50、p95、p99</w:t>
            </w:r>
          </w:p>
        </w:tc>
        <w:tc>
          <w:tcPr>
            <w:tcW w:w="3700" w:type="dxa"/>
            <w:vAlign w:val="center"/>
          </w:tcPr>
          <w:p w14:paraId="7FE5E27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禁止插值；N和缺失值数量必须随指标报告</w:t>
            </w:r>
          </w:p>
        </w:tc>
      </w:tr>
      <w:tr w14:paraId="6D94C4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70C11E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重复与中位数</w:t>
            </w:r>
          </w:p>
        </w:tc>
        <w:tc>
          <w:tcPr>
            <w:tcW w:w="2995" w:type="dxa"/>
            <w:vAlign w:val="center"/>
          </w:tcPr>
          <w:p w14:paraId="2257715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每个cell至少3次独立冷启动生命周期；先在每次内部计算主指标，再对生命周期主指标取数值中位数；偶数追加后取中间两值平均</w:t>
            </w:r>
          </w:p>
        </w:tc>
        <w:tc>
          <w:tcPr>
            <w:tcW w:w="3700" w:type="dxa"/>
            <w:vAlign w:val="center"/>
          </w:tcPr>
          <w:p w14:paraId="3A33230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整次生命周期作为选择单元；不得把不同repeat的请求拼接后取中位数，不得挑最好repeat</w:t>
            </w:r>
          </w:p>
        </w:tc>
      </w:tr>
      <w:tr w14:paraId="533FFC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3BBF9C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A1 MFU</w:t>
            </w:r>
          </w:p>
        </w:tc>
        <w:tc>
          <w:tcPr>
            <w:tcW w:w="2995" w:type="dxa"/>
            <w:vAlign w:val="center"/>
          </w:tcPr>
          <w:p w14:paraId="531C029D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MFU=effective_model_FLOPs/(测量墙钟秒×表4-12规定的910B2 BF16峰值)；4096×8为唯一主形状；与msprof算子FLOPs偏差不超过3%</w:t>
            </w:r>
          </w:p>
        </w:tc>
        <w:tc>
          <w:tcPr>
            <w:tcW w:w="3700" w:type="dxa"/>
            <w:vAlign w:val="center"/>
          </w:tcPr>
          <w:p w14:paraId="57AFEE3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只用未经四舍五入的值判定；辅助形状只作护栏，不可替换主形状</w:t>
            </w:r>
          </w:p>
        </w:tc>
      </w:tr>
      <w:tr w14:paraId="432386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93FEF5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A2容量</w:t>
            </w:r>
          </w:p>
        </w:tc>
        <w:tc>
          <w:tcPr>
            <w:tcW w:w="2995" w:type="dxa"/>
            <w:vAlign w:val="center"/>
          </w:tcPr>
          <w:p w14:paraId="01F3CFD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每个预定义rate点同时满足绝对SLO、质量和错误门槛才合规；最大合规容量为最高合规预定义rate；不插值、不外推</w:t>
            </w:r>
          </w:p>
        </w:tc>
        <w:tc>
          <w:tcPr>
            <w:tcW w:w="3700" w:type="dxa"/>
            <w:vAlign w:val="center"/>
          </w:tcPr>
          <w:p w14:paraId="641FD73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dialogue和tool按B1-BF16/B0-BF16执行容量≥2.0及共同负载TTFT、TPOT各改善≥20%；P0全量结果如实报告，不用单次全量固定rate替代容量判定；W8A8扩展单列</w:t>
            </w:r>
          </w:p>
        </w:tc>
      </w:tr>
      <w:tr w14:paraId="50A7B2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D036A5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质量</w:t>
            </w:r>
          </w:p>
        </w:tc>
        <w:tc>
          <w:tcPr>
            <w:tcW w:w="2995" w:type="dxa"/>
            <w:vAlign w:val="center"/>
          </w:tcPr>
          <w:p w14:paraId="1C56F8C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BF16质量百分点差=B1-BF16−B0-BF16；W8A8量化增量=B1-W8A8−B1-BF16；B0原生兼容时另算同量化差。Schema合法率=合法JSON且满足schema的响应数/全部请求；工具成功率=tool name和arguments通过官方oracle的请求数/全部请求</w:t>
            </w:r>
          </w:p>
        </w:tc>
        <w:tc>
          <w:tcPr>
            <w:tcW w:w="3700" w:type="dxa"/>
            <w:vAlign w:val="center"/>
          </w:tcPr>
          <w:p w14:paraId="250463F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协议错误、超时、空响应和截断均计失败；性能结果不得抵销质量失败</w:t>
            </w:r>
          </w:p>
        </w:tc>
      </w:tr>
      <w:tr w14:paraId="13EF9C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5AFDF1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A3稳定性</w:t>
            </w:r>
          </w:p>
        </w:tc>
        <w:tc>
          <w:tcPr>
            <w:tcW w:w="2995" w:type="dxa"/>
            <w:vAlign w:val="center"/>
          </w:tcPr>
          <w:p w14:paraId="789AF4B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窗口吞吐CV=标准差/均值；漂移=(当前窗口指标−首个稳定窗口指标)/首个稳定窗口指标；分别计算median和p99；参照窗口固定为W1；窗口归属按请求完成时刻</w:t>
            </w:r>
          </w:p>
        </w:tc>
        <w:tc>
          <w:tcPr>
            <w:tcW w:w="3700" w:type="dxa"/>
            <w:vAlign w:val="center"/>
          </w:tcPr>
          <w:p w14:paraId="02D75EF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6个5 min窗口、CV≤5%、median漂移≤10%、p99漂移≤20%，且样本少于1000时0失败；测量区间内TTFT/TPOT的mean/p95/p99均不超过表4-2b的A3绝对SLO</w:t>
            </w:r>
          </w:p>
        </w:tc>
      </w:tr>
      <w:tr w14:paraId="330EB60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985890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A4公平性</w:t>
            </w:r>
          </w:p>
        </w:tc>
        <w:tc>
          <w:tcPr>
            <w:tcW w:w="2995" w:type="dxa"/>
            <w:vAlign w:val="center"/>
          </w:tcPr>
          <w:p w14:paraId="32C66D8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Jain=(Σg_i)^2/(5×Σg_i^2)，g_i为租户实际goodput/投递goodput；服务份额=租户成功输出token/五租户成功输出token总数</w:t>
            </w:r>
          </w:p>
        </w:tc>
        <w:tc>
          <w:tcPr>
            <w:tcW w:w="3700" w:type="dxa"/>
            <w:vAlign w:val="center"/>
          </w:tcPr>
          <w:p w14:paraId="00A8CCF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Jain≥0.90；各份额相对20%偏差≤10%；逐租户p99和质量不得被平均掩盖</w:t>
            </w:r>
          </w:p>
        </w:tc>
      </w:tr>
      <w:tr w14:paraId="014224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AB2E29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成本</w:t>
            </w:r>
          </w:p>
        </w:tc>
        <w:tc>
          <w:tcPr>
            <w:tcW w:w="2995" w:type="dxa"/>
            <w:vAlign w:val="center"/>
          </w:tcPr>
          <w:p w14:paraId="7E70EC6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单位成本=完整生命周期成本/成功输出token数×10^6；计时从服务启动到停止；B0/B1采用同一价格、能耗和分摊口径</w:t>
            </w:r>
          </w:p>
        </w:tc>
        <w:tc>
          <w:tcPr>
            <w:tcW w:w="3700" w:type="dxa"/>
            <w:vAlign w:val="center"/>
          </w:tcPr>
          <w:p w14:paraId="273BE2D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BF16必测降低比例=(B0-BF16−B1-BF16)/B0-BF16；W8A8扩展分别计算量化增量和端到端系统结果；不得混写为纯框架收益；仅使用SLO约束满足的负载点（表4-2b）</w:t>
            </w:r>
          </w:p>
        </w:tc>
      </w:tr>
      <w:tr w14:paraId="77ECDA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1F1BB1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自动判定顺序</w:t>
            </w:r>
          </w:p>
        </w:tc>
        <w:tc>
          <w:tcPr>
            <w:tcW w:w="2995" w:type="dxa"/>
            <w:vAlign w:val="center"/>
          </w:tcPr>
          <w:p w14:paraId="5B10C3F5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①证据与签名有效；②三次有效生命周期齐全；③正确性和质量通过；④逐repeat计算；⑤取主指标中位数；⑥执行A1—A4硬门槛；⑦生成verdict.json</w:t>
            </w:r>
          </w:p>
        </w:tc>
        <w:tc>
          <w:tcPr>
            <w:tcW w:w="3700" w:type="dxa"/>
            <w:vAlign w:val="center"/>
          </w:tcPr>
          <w:p w14:paraId="0F1FA2F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任一硬门槛为false则FAILED；证据或样本缺失为CANNOT_DETERMINE；不得用其他cell的提升补偿</w:t>
            </w:r>
          </w:p>
        </w:tc>
      </w:tr>
      <w:tr w14:paraId="1745E9D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6321FB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计算示例</w:t>
            </w:r>
          </w:p>
        </w:tc>
        <w:tc>
          <w:tcPr>
            <w:tcW w:w="2995" w:type="dxa"/>
            <w:vAlign w:val="center"/>
          </w:tcPr>
          <w:p w14:paraId="1A4889F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若dialogue的B0/B1最大合规容量为2/4 RPS，容量比=2.00；共同负载TTFT为800/600 ms，改善25%；TPOT为50/38 ms，改善24%</w:t>
            </w:r>
          </w:p>
        </w:tc>
        <w:tc>
          <w:tcPr>
            <w:tcW w:w="3700" w:type="dxa"/>
            <w:vAlign w:val="center"/>
          </w:tcPr>
          <w:p w14:paraId="19A6B7A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三项均达到对应阈值；该数值只说明计算方法，不作为预期结果或宣传数据</w:t>
            </w:r>
          </w:p>
        </w:tc>
      </w:tr>
      <w:tr w14:paraId="260AD4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15B1B28">
            <w:pPr>
              <w:jc w:val="both"/>
            </w:pPr>
            <w:r>
              <w:rPr>
                <w:sz w:val="19"/>
              </w:rPr>
              <w:t>跨场景几何平均</w:t>
            </w:r>
          </w:p>
        </w:tc>
        <w:tc>
          <w:tcPr>
            <w:tcW w:w="2769" w:type="dxa"/>
          </w:tcPr>
          <w:p w14:paraId="7D1EA356">
            <w:pPr>
              <w:jc w:val="both"/>
            </w:pPr>
            <w:r>
              <w:rPr>
                <w:sz w:val="19"/>
              </w:rPr>
              <w:t>对预先冻结的A2与A4所有适用REQUIRED dataset_id×config_id吞吐比等权计算：GM=exp[(1/K)Σln(R_Q,k)]；SUPPLEMENTARY与N/A不进入K</w:t>
            </w:r>
          </w:p>
        </w:tc>
        <w:tc>
          <w:tcPr>
            <w:tcW w:w="2769" w:type="dxa"/>
          </w:tcPr>
          <w:p w14:paraId="198913D1">
            <w:pPr>
              <w:jc w:val="both"/>
            </w:pPr>
            <w:r>
              <w:rPr>
                <w:sz w:val="19"/>
              </w:rPr>
              <w:t>任一适用REQUIRED结果缺失、FAILED或CANNOT_DETERMINE时，GM不得形成通过性结论；不得在看到结果后改变场景集合或权重</w:t>
            </w:r>
          </w:p>
        </w:tc>
      </w:tr>
    </w:tbl>
    <w:p w14:paraId="4F5615BE">
      <w:pPr>
        <w:spacing w:before="40" w:after="40" w:line="560" w:lineRule="exact"/>
        <w:ind w:left="0" w:right="0" w:firstLine="0"/>
        <w:jc w:val="both"/>
      </w:pPr>
      <w:r>
        <w:t>表附-19 报告、证据包和现场复核</w:t>
      </w:r>
    </w:p>
    <w:tbl>
      <w:tblPr>
        <w:tblStyle w:val="17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F66AB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2304" w:type="dxa"/>
            <w:shd w:val="clear" w:color="auto" w:fill="D9EAF7"/>
            <w:vAlign w:val="center"/>
          </w:tcPr>
          <w:p w14:paraId="15DB229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交付项</w:t>
            </w:r>
          </w:p>
        </w:tc>
        <w:tc>
          <w:tcPr>
            <w:tcW w:w="2995" w:type="dxa"/>
            <w:shd w:val="clear" w:color="auto" w:fill="D9EAF7"/>
            <w:vAlign w:val="center"/>
          </w:tcPr>
          <w:p w14:paraId="54F0E41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必须内容</w:t>
            </w:r>
          </w:p>
        </w:tc>
        <w:tc>
          <w:tcPr>
            <w:tcW w:w="3700" w:type="dxa"/>
            <w:shd w:val="clear" w:color="auto" w:fill="D9EAF7"/>
            <w:vAlign w:val="center"/>
          </w:tcPr>
          <w:p w14:paraId="2C53AA1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/>
                <w:sz w:val="19"/>
              </w:rPr>
              <w:t>完成标准</w:t>
            </w:r>
          </w:p>
        </w:tc>
      </w:tr>
      <w:tr w14:paraId="60F407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0ADFF5C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报告首页</w:t>
            </w:r>
          </w:p>
        </w:tc>
        <w:tc>
          <w:tcPr>
            <w:tcW w:w="2995" w:type="dxa"/>
            <w:vAlign w:val="center"/>
          </w:tcPr>
          <w:p w14:paraId="4A49BC7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项目名称、方案版本与SHA-256、测试机构、测试地点、起止时间、config_id、B0/B1 exact身份</w:t>
            </w:r>
          </w:p>
        </w:tc>
        <w:tc>
          <w:tcPr>
            <w:tcW w:w="3700" w:type="dxa"/>
            <w:vAlign w:val="center"/>
          </w:tcPr>
          <w:p w14:paraId="18C33BB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任一身份不得用简称、分支或tag代替</w:t>
            </w:r>
          </w:p>
        </w:tc>
      </w:tr>
      <w:tr w14:paraId="60F0D4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64483BB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环境与资产</w:t>
            </w:r>
          </w:p>
        </w:tc>
        <w:tc>
          <w:tcPr>
            <w:tcW w:w="2995" w:type="dxa"/>
            <w:vAlign w:val="center"/>
          </w:tcPr>
          <w:p w14:paraId="60B37000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硬件、OS、driver、firmware、CANN、torch_npu、容器digest、模型与数据manifest、CPU/NPU绑定</w:t>
            </w:r>
          </w:p>
        </w:tc>
        <w:tc>
          <w:tcPr>
            <w:tcW w:w="3700" w:type="dxa"/>
            <w:vAlign w:val="center"/>
          </w:tcPr>
          <w:p w14:paraId="28FD8682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与签名receipt逐项一致；全文只引用一个config version</w:t>
            </w:r>
          </w:p>
        </w:tc>
      </w:tr>
      <w:tr w14:paraId="6C46DA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476AFFA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执行记录</w:t>
            </w:r>
          </w:p>
        </w:tc>
        <w:tc>
          <w:tcPr>
            <w:tcW w:w="2995" w:type="dxa"/>
            <w:vAlign w:val="center"/>
          </w:tcPr>
          <w:p w14:paraId="57F599B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A1、A2六个执行单元、A2-V适用性、A3、A4逐项列出3次及追加repeat；含启动、预热、测量、停止时间和退出码</w:t>
            </w:r>
          </w:p>
        </w:tc>
        <w:tc>
          <w:tcPr>
            <w:tcW w:w="3700" w:type="dxa"/>
            <w:vAlign w:val="center"/>
          </w:tcPr>
          <w:p w14:paraId="372A3BE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失败、超时、取消、replacement均单列，不得只呈现成功结果</w:t>
            </w:r>
          </w:p>
        </w:tc>
      </w:tr>
      <w:tr w14:paraId="7DF0AF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6EB9B8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指标结果</w:t>
            </w:r>
          </w:p>
        </w:tc>
        <w:tc>
          <w:tcPr>
            <w:tcW w:w="2995" w:type="dxa"/>
            <w:vAlign w:val="center"/>
          </w:tcPr>
          <w:p w14:paraId="39F9EDF3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每次repeat原始指标、生命周期中位数、B0/B1比较、质量、SLO、稳定性、公平性、利用率和成本</w:t>
            </w:r>
          </w:p>
        </w:tc>
        <w:tc>
          <w:tcPr>
            <w:tcW w:w="3700" w:type="dxa"/>
            <w:vAlign w:val="center"/>
          </w:tcPr>
          <w:p w14:paraId="6AF417F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保留未舍入机器值；表格显示值不得参与二次判定</w:t>
            </w:r>
          </w:p>
        </w:tc>
      </w:tr>
      <w:tr w14:paraId="25A01D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C2AD92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判定说明</w:t>
            </w:r>
          </w:p>
        </w:tc>
        <w:tc>
          <w:tcPr>
            <w:tcW w:w="2995" w:type="dxa"/>
            <w:vAlign w:val="center"/>
          </w:tcPr>
          <w:p w14:paraId="3A77816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逐条列出P0、A1—A4门槛、实际值、布尔结果和证据路径；结论词仅PASSED、FAILED、CANNOT_DETERMINE、NOT_EXECUTED_OPTIONAL、INTERNAL_VERIFIED</w:t>
            </w:r>
          </w:p>
        </w:tc>
        <w:tc>
          <w:tcPr>
            <w:tcW w:w="3700" w:type="dxa"/>
            <w:vAlign w:val="center"/>
          </w:tcPr>
          <w:p w14:paraId="16FEB2E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必须交付任一项FAILED或CANNOT_DETERMINE时，不得给出整体验收通过</w:t>
            </w:r>
          </w:p>
        </w:tc>
      </w:tr>
      <w:tr w14:paraId="337FE88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88FC16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横向比较检查</w:t>
            </w:r>
          </w:p>
        </w:tc>
        <w:tc>
          <w:tcPr>
            <w:tcW w:w="2995" w:type="dxa"/>
            <w:vAlign w:val="center"/>
          </w:tcPr>
          <w:p w14:paraId="2FF79DB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逐项核对：报告不含跨平台、跨模型规模、跨部署拓扑的排名、综合评分或同表排序；额外交付单列成章</w:t>
            </w:r>
          </w:p>
        </w:tc>
        <w:tc>
          <w:tcPr>
            <w:tcW w:w="3700" w:type="dxa"/>
            <w:vAlign w:val="center"/>
          </w:tcPr>
          <w:p w14:paraId="34EBDA1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数据复核人勾选并签字；发现违规则报告暂缓签发（4.6.9）</w:t>
            </w:r>
          </w:p>
        </w:tc>
      </w:tr>
      <w:tr w14:paraId="043174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077E82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启动参数一致性</w:t>
            </w:r>
          </w:p>
        </w:tc>
        <w:tc>
          <w:tcPr>
            <w:tcW w:w="2995" w:type="dxa"/>
            <w:vAlign w:val="center"/>
          </w:tcPr>
          <w:p w14:paraId="608DA6B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B0-BF16与B1-BF16规范化性能配置除代码、镜像和角色标识外差异为0；P0及A2—A4均使用FULL_DECODE_ONLY及相同capture sizes；W8A8扩展只允许固定工件、服务名和quantization变化</w:t>
            </w:r>
          </w:p>
        </w:tc>
        <w:tc>
          <w:tcPr>
            <w:tcW w:w="3700" w:type="dxa"/>
            <w:vAlign w:val="center"/>
          </w:tcPr>
          <w:p w14:paraId="112ADC46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发现任何表附-1未明确列出的配置差别、任一侧未实际启用图执行或偏离固定配置即判比较无效；不得写解释性豁免</w:t>
            </w:r>
          </w:p>
        </w:tc>
      </w:tr>
      <w:tr w14:paraId="5C4E441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2F0B788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证据索引</w:t>
            </w:r>
          </w:p>
        </w:tc>
        <w:tc>
          <w:tcPr>
            <w:tcW w:w="2995" w:type="dxa"/>
            <w:vAlign w:val="center"/>
          </w:tcPr>
          <w:p w14:paraId="3577800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artifact-manifest.jcs列出全部相对路径、size、SHA-256、生成角色、request_id、target、repeat和median selection</w:t>
            </w:r>
          </w:p>
        </w:tc>
        <w:tc>
          <w:tcPr>
            <w:tcW w:w="3700" w:type="dxa"/>
            <w:vAlign w:val="center"/>
          </w:tcPr>
          <w:p w14:paraId="2022172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清单无悬空文件、重复路径或未列文件；全包复算通过</w:t>
            </w:r>
          </w:p>
        </w:tc>
      </w:tr>
      <w:tr w14:paraId="5F30A2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A961717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签名验证</w:t>
            </w:r>
          </w:p>
        </w:tc>
        <w:tc>
          <w:tcPr>
            <w:tcW w:w="2995" w:type="dxa"/>
            <w:vAlign w:val="center"/>
          </w:tcPr>
          <w:p w14:paraId="649185A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Ed25519签名、key-id、公钥指纹、trust-store revision、有效期与撤销状态、signature_verified</w:t>
            </w:r>
          </w:p>
        </w:tc>
        <w:tc>
          <w:tcPr>
            <w:tcW w:w="3700" w:type="dxa"/>
            <w:vAlign w:val="center"/>
          </w:tcPr>
          <w:p w14:paraId="338C4F4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signature_verified=true方可签发报告；请求HMAC不能替代结果签名</w:t>
            </w:r>
          </w:p>
        </w:tc>
      </w:tr>
      <w:tr w14:paraId="79B1FC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191D3EF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复算交付</w:t>
            </w:r>
          </w:p>
        </w:tc>
        <w:tc>
          <w:tcPr>
            <w:tcW w:w="2995" w:type="dxa"/>
            <w:vAlign w:val="center"/>
          </w:tcPr>
          <w:p w14:paraId="078ABECA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随包提供只读的公式说明、oracle入口和verdict.json；第三方从raw数据复算后与报告逐项比对</w:t>
            </w:r>
          </w:p>
        </w:tc>
        <w:tc>
          <w:tcPr>
            <w:tcW w:w="3700" w:type="dxa"/>
            <w:vAlign w:val="center"/>
          </w:tcPr>
          <w:p w14:paraId="6220B11B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复算差异必须为0；不一致时报告暂缓签发并保留两份结果</w:t>
            </w:r>
          </w:p>
        </w:tc>
      </w:tr>
      <w:tr w14:paraId="69F1C39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5E8A825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现场复核</w:t>
            </w:r>
          </w:p>
        </w:tc>
        <w:tc>
          <w:tcPr>
            <w:tcW w:w="2995" w:type="dxa"/>
            <w:vAlign w:val="center"/>
          </w:tcPr>
          <w:p w14:paraId="61814BB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测试执行人、数据复核人、环境管理员分别填写姓名、单位、日期和签字；测试机构加盖报告章</w:t>
            </w:r>
          </w:p>
        </w:tc>
        <w:tc>
          <w:tcPr>
            <w:tcW w:w="3700" w:type="dxa"/>
            <w:vAlign w:val="center"/>
          </w:tcPr>
          <w:p w14:paraId="649B1CBC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执行、复核不得由同一人兼任；签字页与电子签名证据一并归档</w:t>
            </w:r>
          </w:p>
        </w:tc>
      </w:tr>
      <w:tr w14:paraId="386E25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380B0941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文件命名</w:t>
            </w:r>
          </w:p>
        </w:tc>
        <w:tc>
          <w:tcPr>
            <w:tcW w:w="2995" w:type="dxa"/>
            <w:vAlign w:val="center"/>
          </w:tcPr>
          <w:p w14:paraId="1192CDB4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正式报告：项目简称_V5.4_&lt;config_id前12位&gt;_验收测试报告.pdf；证据包：同前缀_evidence.tar.zst；校验文件：同前缀_SHA256SUMS</w:t>
            </w:r>
          </w:p>
        </w:tc>
        <w:tc>
          <w:tcPr>
            <w:tcW w:w="3700" w:type="dxa"/>
            <w:vAlign w:val="center"/>
          </w:tcPr>
          <w:p w14:paraId="48221469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文件名、报告内config_id和签名manifest一致；禁止覆盖同名历史文件</w:t>
            </w:r>
          </w:p>
        </w:tc>
      </w:tr>
      <w:tr w14:paraId="15C7C8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2304" w:type="dxa"/>
            <w:vAlign w:val="center"/>
          </w:tcPr>
          <w:p w14:paraId="7C23E11E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归档与发布</w:t>
            </w:r>
          </w:p>
        </w:tc>
        <w:tc>
          <w:tcPr>
            <w:tcW w:w="2995" w:type="dxa"/>
            <w:vAlign w:val="center"/>
          </w:tcPr>
          <w:p w14:paraId="3A9B55C8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原始证据、报告、签名和验签记录进入不可变存储；website/snapshot只读取VERIFIED且结论允许发布的bundle</w:t>
            </w:r>
          </w:p>
        </w:tc>
        <w:tc>
          <w:tcPr>
            <w:tcW w:w="3700" w:type="dxa"/>
            <w:vAlign w:val="center"/>
          </w:tcPr>
          <w:p w14:paraId="3677CF1F">
            <w:pPr>
              <w:spacing w:before="0" w:after="0" w:line="240" w:lineRule="auto"/>
              <w:jc w:val="both"/>
            </w:pPr>
            <w:r>
              <w:rPr>
                <w:rFonts w:ascii="宋体" w:hAnsi="宋体" w:eastAsia="宋体"/>
                <w:b w:val="0"/>
                <w:sz w:val="19"/>
              </w:rPr>
              <w:t>保留期限按项目档案制度执行；后续复测生成新request_id和新包</w:t>
            </w:r>
          </w:p>
        </w:tc>
      </w:tr>
    </w:tbl>
    <w:p w14:paraId="6F1F404B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宋体" w:hAnsi="宋体" w:eastAsia="宋体"/>
        </w:rPr>
        <w:t>生效规则：表附-1至表附-19共同构成本次验收依据。每次正式测试将B0/B1 exact提交、镜像摘要、模型清单、数据与到达序列、物理设备、实际命令、运行环境和签名身份归集为唯一comparison_id，并为各角色生成config_id。正式队列只接受B0、B1及B0_vs_B1；固定值不完整、角色合同不匹配、记录缺失、生效校验或签名失败时，不得开展测量或形成验收结论。</w:t>
      </w:r>
    </w:p>
    <w:p w14:paraId="5812A1F2">
      <w:pPr>
        <w:keepNext/>
        <w:widowControl/>
        <w:spacing w:before="200" w:after="160" w:line="560" w:lineRule="exact"/>
        <w:ind w:left="0" w:right="0" w:firstLine="0"/>
        <w:jc w:val="both"/>
        <w:outlineLvl w:val="0"/>
      </w:pPr>
      <w:bookmarkStart w:id="49" w:name="_Toc15906"/>
      <w:r>
        <w:rPr>
          <w:rFonts w:ascii="Times New Roman" w:hAnsi="Times New Roman" w:eastAsia="黑体"/>
          <w:b/>
          <w:sz w:val="28"/>
        </w:rPr>
        <w:t>附（管理性）：V5.4封版前置门禁清单</w:t>
      </w:r>
      <w:bookmarkEnd w:id="49"/>
    </w:p>
    <w:p w14:paraId="19CD25D2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本附录为发布与封版管理性附录，用于跟踪V5.4发布前尚未解除的门禁项及处置要求；其性质与正文附录“正式测试配置冻结表”（表附-1至表附-19，共同构成本次验收依据）不同，本附录不计入验收依据范围。未解除的必须交付门禁使受影响测试单元不具备正式测量条件；额外交付或补充负载未启用时记为未执行，不阻塞必须交付。</w:t>
      </w:r>
    </w:p>
    <w:p w14:paraId="576422EF">
      <w:pPr>
        <w:keepNext/>
        <w:widowControl/>
        <w:spacing w:before="40" w:after="40" w:line="560" w:lineRule="exact"/>
        <w:ind w:left="0" w:right="0" w:firstLine="0"/>
        <w:jc w:val="both"/>
      </w:pPr>
      <w:r>
        <w:rPr>
          <w:rFonts w:ascii="Times New Roman" w:hAnsi="Times New Roman" w:eastAsia="仿宋_GB2312"/>
          <w:b w:val="0"/>
          <w:sz w:val="28"/>
        </w:rPr>
        <w:t>附表G-1 V5.4封版前置门禁清单</w:t>
      </w:r>
    </w:p>
    <w:tbl>
      <w:tblPr>
        <w:tblStyle w:val="18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6"/>
        <w:gridCol w:w="1196"/>
        <w:gridCol w:w="706"/>
        <w:gridCol w:w="3732"/>
        <w:gridCol w:w="1802"/>
      </w:tblGrid>
      <w:tr w14:paraId="5C13B09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1" w:type="dxa"/>
          </w:tcPr>
          <w:p w14:paraId="19E3B9A2">
            <w:r>
              <w:rPr>
                <w:rFonts w:ascii="宋体" w:hAnsi="宋体" w:eastAsia="宋体"/>
                <w:b/>
                <w:sz w:val="19"/>
              </w:rPr>
              <w:t>门禁项</w:t>
            </w:r>
          </w:p>
        </w:tc>
        <w:tc>
          <w:tcPr>
            <w:tcW w:w="1661" w:type="dxa"/>
          </w:tcPr>
          <w:p w14:paraId="6E034D35">
            <w:r>
              <w:rPr>
                <w:rFonts w:ascii="宋体" w:hAnsi="宋体" w:eastAsia="宋体"/>
                <w:b/>
                <w:sz w:val="19"/>
              </w:rPr>
              <w:t>现状说明</w:t>
            </w:r>
          </w:p>
        </w:tc>
        <w:tc>
          <w:tcPr>
            <w:tcW w:w="1661" w:type="dxa"/>
          </w:tcPr>
          <w:p w14:paraId="7E39CD8C">
            <w:r>
              <w:rPr>
                <w:rFonts w:ascii="宋体" w:hAnsi="宋体" w:eastAsia="宋体"/>
                <w:b/>
                <w:sz w:val="19"/>
              </w:rPr>
              <w:t>责任方</w:t>
            </w:r>
          </w:p>
        </w:tc>
        <w:tc>
          <w:tcPr>
            <w:tcW w:w="1661" w:type="dxa"/>
          </w:tcPr>
          <w:p w14:paraId="292F0C7E">
            <w:r>
              <w:rPr>
                <w:rFonts w:ascii="宋体" w:hAnsi="宋体" w:eastAsia="宋体"/>
                <w:b/>
                <w:sz w:val="19"/>
              </w:rPr>
              <w:t>大致解决办法</w:t>
            </w:r>
          </w:p>
        </w:tc>
        <w:tc>
          <w:tcPr>
            <w:tcW w:w="1661" w:type="dxa"/>
          </w:tcPr>
          <w:p w14:paraId="4F6544A1">
            <w:r>
              <w:rPr>
                <w:rFonts w:ascii="宋体" w:hAnsi="宋体" w:eastAsia="宋体"/>
                <w:b/>
                <w:sz w:val="19"/>
              </w:rPr>
              <w:t>解除标准</w:t>
            </w:r>
          </w:p>
        </w:tc>
      </w:tr>
      <w:tr w14:paraId="207FF2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65FCBC2">
            <w:r>
              <w:rPr>
                <w:rFonts w:ascii="宋体" w:hAnsi="宋体" w:eastAsia="宋体"/>
                <w:b w:val="0"/>
                <w:sz w:val="19"/>
              </w:rPr>
              <w:t>版本标识统一</w:t>
            </w:r>
          </w:p>
        </w:tc>
        <w:tc>
          <w:tcPr>
            <w:tcW w:w="1661" w:type="dxa"/>
          </w:tcPr>
          <w:p w14:paraId="64D48EE8">
            <w:r>
              <w:rPr>
                <w:rFonts w:ascii="宋体" w:hAnsi="宋体" w:eastAsia="宋体"/>
                <w:b w:val="0"/>
                <w:sz w:val="19"/>
              </w:rPr>
              <w:t>封面、正文、附表、/plan/目录、test_plan_version和报告命名统一为V5.4</w:t>
            </w:r>
          </w:p>
        </w:tc>
        <w:tc>
          <w:tcPr>
            <w:tcW w:w="1661" w:type="dxa"/>
          </w:tcPr>
          <w:p w14:paraId="5468CC04">
            <w:r>
              <w:rPr>
                <w:rFonts w:ascii="宋体" w:hAnsi="宋体" w:eastAsia="宋体"/>
                <w:b w:val="0"/>
                <w:sz w:val="19"/>
              </w:rPr>
              <w:t>华中科技大学课题组</w:t>
            </w:r>
          </w:p>
        </w:tc>
        <w:tc>
          <w:tcPr>
            <w:tcW w:w="1661" w:type="dxa"/>
          </w:tcPr>
          <w:p w14:paraId="737B8797">
            <w:r>
              <w:rPr>
                <w:rFonts w:ascii="宋体" w:hAnsi="宋体" w:eastAsia="宋体"/>
                <w:b w:val="0"/>
                <w:sz w:val="19"/>
              </w:rPr>
              <w:t>发布前执行全文版本号和证据包命名扫描</w:t>
            </w:r>
          </w:p>
        </w:tc>
        <w:tc>
          <w:tcPr>
            <w:tcW w:w="1661" w:type="dxa"/>
          </w:tcPr>
          <w:p w14:paraId="110F28E5">
            <w:r>
              <w:rPr>
                <w:rFonts w:ascii="宋体" w:hAnsi="宋体" w:eastAsia="宋体"/>
                <w:b w:val="0"/>
                <w:sz w:val="19"/>
              </w:rPr>
              <w:t>仅出现V5.4，不存在任何过期版本号</w:t>
            </w:r>
          </w:p>
        </w:tc>
      </w:tr>
      <w:tr w14:paraId="29A659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F19B1AE">
            <w:r>
              <w:rPr>
                <w:rFonts w:ascii="宋体" w:hAnsi="宋体" w:eastAsia="宋体"/>
                <w:b w:val="0"/>
                <w:sz w:val="19"/>
              </w:rPr>
              <w:t>总纲入口统一</w:t>
            </w:r>
          </w:p>
        </w:tc>
        <w:tc>
          <w:tcPr>
            <w:tcW w:w="1661" w:type="dxa"/>
          </w:tcPr>
          <w:p w14:paraId="22B1A991">
            <w:r>
              <w:rPr>
                <w:rFonts w:ascii="宋体" w:hAnsi="宋体" w:eastAsia="宋体"/>
                <w:b w:val="0"/>
                <w:sz w:val="19"/>
              </w:rPr>
              <w:t>测试方案正文、附表、测试目标登记表、oracle/parser仓库分散引用，缺少唯一入口</w:t>
            </w:r>
          </w:p>
        </w:tc>
        <w:tc>
          <w:tcPr>
            <w:tcW w:w="1661" w:type="dxa"/>
          </w:tcPr>
          <w:p w14:paraId="2A7FC955">
            <w:r>
              <w:rPr>
                <w:rFonts w:ascii="宋体" w:hAnsi="宋体" w:eastAsia="宋体"/>
                <w:b w:val="0"/>
                <w:sz w:val="19"/>
              </w:rPr>
              <w:t>课题组</w:t>
            </w:r>
          </w:p>
        </w:tc>
        <w:tc>
          <w:tcPr>
            <w:tcW w:w="1661" w:type="dxa"/>
          </w:tcPr>
          <w:p w14:paraId="7AA254E1">
            <w:r>
              <w:rPr>
                <w:rFonts w:ascii="宋体" w:hAnsi="宋体" w:eastAsia="宋体"/>
                <w:b w:val="0"/>
                <w:sz w:val="19"/>
              </w:rPr>
              <w:t>建立单一总纲文件，逐项列出各交付物路径、版本号与SHA-256，作为第三方核验清单入口</w:t>
            </w:r>
          </w:p>
        </w:tc>
        <w:tc>
          <w:tcPr>
            <w:tcW w:w="1661" w:type="dxa"/>
          </w:tcPr>
          <w:p w14:paraId="5FD96AC2">
            <w:r>
              <w:rPr>
                <w:rFonts w:ascii="宋体" w:hAnsi="宋体" w:eastAsia="宋体"/>
                <w:b w:val="0"/>
                <w:sz w:val="19"/>
              </w:rPr>
              <w:t>总纲覆盖表4-16全部交付材料且逐项可核验</w:t>
            </w:r>
          </w:p>
        </w:tc>
      </w:tr>
      <w:tr w14:paraId="117E00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031B0D56">
            <w:r>
              <w:rPr>
                <w:rFonts w:ascii="宋体" w:hAnsi="宋体" w:eastAsia="宋体"/>
                <w:b w:val="0"/>
                <w:sz w:val="19"/>
              </w:rPr>
              <w:t>第三方执行文件封版</w:t>
            </w:r>
          </w:p>
        </w:tc>
        <w:tc>
          <w:tcPr>
            <w:tcW w:w="1661" w:type="dxa"/>
          </w:tcPr>
          <w:p w14:paraId="0CF2999C">
            <w:r>
              <w:rPr>
                <w:rFonts w:ascii="宋体" w:hAnsi="宋体" w:eastAsia="宋体"/>
                <w:b w:val="0"/>
                <w:sz w:val="19"/>
              </w:rPr>
              <w:t>dev-hub仓库中oracle/parser、client adapter尚未冻结到确定commit</w:t>
            </w:r>
          </w:p>
        </w:tc>
        <w:tc>
          <w:tcPr>
            <w:tcW w:w="1661" w:type="dxa"/>
          </w:tcPr>
          <w:p w14:paraId="67B25B3B">
            <w:r>
              <w:rPr>
                <w:rFonts w:ascii="宋体" w:hAnsi="宋体" w:eastAsia="宋体"/>
                <w:b w:val="0"/>
                <w:sz w:val="19"/>
              </w:rPr>
              <w:t>课题组（dev-hub维护人）</w:t>
            </w:r>
          </w:p>
        </w:tc>
        <w:tc>
          <w:tcPr>
            <w:tcW w:w="1661" w:type="dxa"/>
          </w:tcPr>
          <w:p w14:paraId="71B7EFB2">
            <w:r>
              <w:rPr>
                <w:rFonts w:ascii="宋体" w:hAnsi="宋体" w:eastAsia="宋体"/>
                <w:b w:val="0"/>
                <w:sz w:val="19"/>
              </w:rPr>
              <w:t>冻结到具体commit并生成SHA-256，绑定进config_id/comparison_id体系</w:t>
            </w:r>
          </w:p>
        </w:tc>
        <w:tc>
          <w:tcPr>
            <w:tcW w:w="1661" w:type="dxa"/>
          </w:tcPr>
          <w:p w14:paraId="594BE3C6">
            <w:r>
              <w:rPr>
                <w:rFonts w:ascii="宋体" w:hAnsi="宋体" w:eastAsia="宋体"/>
                <w:b w:val="0"/>
                <w:sz w:val="19"/>
              </w:rPr>
              <w:t>每个profile的oracle/parser均有exact revision+hash记录</w:t>
            </w:r>
          </w:p>
        </w:tc>
      </w:tr>
      <w:tr w14:paraId="7A299E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79C9811">
            <w:r>
              <w:rPr>
                <w:rFonts w:ascii="宋体" w:hAnsi="宋体" w:eastAsia="宋体"/>
                <w:b w:val="0"/>
                <w:sz w:val="19"/>
              </w:rPr>
              <w:t>授权</w:t>
            </w:r>
          </w:p>
        </w:tc>
        <w:tc>
          <w:tcPr>
            <w:tcW w:w="1661" w:type="dxa"/>
          </w:tcPr>
          <w:p w14:paraId="70DA902B">
            <w:r>
              <w:rPr>
                <w:rFonts w:ascii="宋体" w:hAnsi="宋体" w:eastAsia="宋体"/>
                <w:b w:val="0"/>
                <w:sz w:val="19"/>
              </w:rPr>
              <w:t>企业数据、长文本等资产授权/脱敏流程未走完，涉及A2工具类与A3长上下文数据</w:t>
            </w:r>
          </w:p>
        </w:tc>
        <w:tc>
          <w:tcPr>
            <w:tcW w:w="1661" w:type="dxa"/>
          </w:tcPr>
          <w:p w14:paraId="525526E2">
            <w:r>
              <w:rPr>
                <w:rFonts w:ascii="宋体" w:hAnsi="宋体" w:eastAsia="宋体"/>
                <w:b w:val="0"/>
                <w:sz w:val="19"/>
              </w:rPr>
              <w:t>数据与安全负责人</w:t>
            </w:r>
          </w:p>
        </w:tc>
        <w:tc>
          <w:tcPr>
            <w:tcW w:w="1661" w:type="dxa"/>
          </w:tcPr>
          <w:p w14:paraId="7C40D1A6">
            <w:r>
              <w:rPr>
                <w:rFonts w:ascii="宋体" w:hAnsi="宋体" w:eastAsia="宋体"/>
                <w:b w:val="0"/>
                <w:sz w:val="19"/>
              </w:rPr>
              <w:t>按数据类型分别推进授权并明确到期时间；未授权资产先标AUTH_REQUIRED，不进入正式config_id</w:t>
            </w:r>
          </w:p>
        </w:tc>
        <w:tc>
          <w:tcPr>
            <w:tcW w:w="1661" w:type="dxa"/>
          </w:tcPr>
          <w:p w14:paraId="27869E71">
            <w:r>
              <w:rPr>
                <w:rFonts w:ascii="宋体" w:hAnsi="宋体" w:eastAsia="宋体"/>
                <w:b w:val="0"/>
                <w:sz w:val="19"/>
              </w:rPr>
              <w:t>相关数据集授权状态在物理注册表中全部为已授权或明确排除</w:t>
            </w:r>
          </w:p>
        </w:tc>
      </w:tr>
      <w:tr w14:paraId="75BDCE4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542A42D">
            <w:r>
              <w:rPr>
                <w:rFonts w:ascii="宋体" w:hAnsi="宋体" w:eastAsia="宋体"/>
                <w:b w:val="0"/>
                <w:sz w:val="19"/>
              </w:rPr>
              <w:t>oracle锁定</w:t>
            </w:r>
          </w:p>
        </w:tc>
        <w:tc>
          <w:tcPr>
            <w:tcW w:w="1661" w:type="dxa"/>
          </w:tcPr>
          <w:p w14:paraId="3EE87B2B">
            <w:r>
              <w:rPr>
                <w:rFonts w:ascii="宋体" w:hAnsi="宋体" w:eastAsia="宋体"/>
                <w:b w:val="0"/>
                <w:sz w:val="19"/>
              </w:rPr>
              <w:t>部分单元（工具调用、推理、结构化输出、长上下文）oracle/scorer未与代码同仓绑定revision</w:t>
            </w:r>
          </w:p>
        </w:tc>
        <w:tc>
          <w:tcPr>
            <w:tcW w:w="1661" w:type="dxa"/>
          </w:tcPr>
          <w:p w14:paraId="1B801CD9">
            <w:r>
              <w:rPr>
                <w:rFonts w:ascii="宋体" w:hAnsi="宋体" w:eastAsia="宋体"/>
                <w:b w:val="0"/>
                <w:sz w:val="19"/>
              </w:rPr>
              <w:t>课题组</w:t>
            </w:r>
          </w:p>
        </w:tc>
        <w:tc>
          <w:tcPr>
            <w:tcW w:w="1661" w:type="dxa"/>
          </w:tcPr>
          <w:p w14:paraId="35A9FAA2">
            <w:r>
              <w:rPr>
                <w:rFonts w:ascii="宋体" w:hAnsi="宋体" w:eastAsia="宋体"/>
                <w:b w:val="0"/>
                <w:sz w:val="19"/>
              </w:rPr>
              <w:t>oracle/parser与被测代码同仓发布并绑定exact revision/hash，缺失项先标CANNOT_DETERMINE</w:t>
            </w:r>
          </w:p>
        </w:tc>
        <w:tc>
          <w:tcPr>
            <w:tcW w:w="1661" w:type="dxa"/>
          </w:tcPr>
          <w:p w14:paraId="1D180302">
            <w:r>
              <w:rPr>
                <w:rFonts w:ascii="宋体" w:hAnsi="宋体" w:eastAsia="宋体"/>
                <w:b w:val="0"/>
                <w:sz w:val="19"/>
              </w:rPr>
              <w:t>所有REQUIRED单元均有绑定revision的oracle/scorer</w:t>
            </w:r>
          </w:p>
        </w:tc>
      </w:tr>
      <w:tr w14:paraId="4B3964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72BD926">
            <w:r>
              <w:rPr>
                <w:rFonts w:ascii="宋体" w:hAnsi="宋体" w:eastAsia="宋体"/>
                <w:b w:val="0"/>
                <w:sz w:val="19"/>
              </w:rPr>
              <w:t>固定tokenizer锁定</w:t>
            </w:r>
          </w:p>
        </w:tc>
        <w:tc>
          <w:tcPr>
            <w:tcW w:w="1661" w:type="dxa"/>
          </w:tcPr>
          <w:p w14:paraId="120F090A">
            <w:r>
              <w:rPr>
                <w:rFonts w:ascii="宋体" w:hAnsi="宋体" w:eastAsia="宋体"/>
                <w:b w:val="0"/>
                <w:sz w:val="19"/>
              </w:rPr>
              <w:t>部分模型tokenizer校验值尚未全部锁定，影响确定性转换与A1/A3窗口化</w:t>
            </w:r>
          </w:p>
        </w:tc>
        <w:tc>
          <w:tcPr>
            <w:tcW w:w="1661" w:type="dxa"/>
          </w:tcPr>
          <w:p w14:paraId="388D8730">
            <w:r>
              <w:rPr>
                <w:rFonts w:ascii="宋体" w:hAnsi="宋体" w:eastAsia="宋体"/>
                <w:b w:val="0"/>
                <w:sz w:val="19"/>
              </w:rPr>
              <w:t>课题组</w:t>
            </w:r>
          </w:p>
        </w:tc>
        <w:tc>
          <w:tcPr>
            <w:tcW w:w="1661" w:type="dxa"/>
          </w:tcPr>
          <w:p w14:paraId="774EE8BE">
            <w:r>
              <w:rPr>
                <w:rFonts w:ascii="宋体" w:hAnsi="宋体" w:eastAsia="宋体"/>
                <w:b w:val="0"/>
                <w:sz w:val="19"/>
              </w:rPr>
              <w:t>逐模型锁定tokenizer.json SHA-256并写入model-manifest</w:t>
            </w:r>
          </w:p>
        </w:tc>
        <w:tc>
          <w:tcPr>
            <w:tcW w:w="1661" w:type="dxa"/>
          </w:tcPr>
          <w:p w14:paraId="574C29BE">
            <w:r>
              <w:rPr>
                <w:rFonts w:ascii="宋体" w:hAnsi="宋体" w:eastAsia="宋体"/>
                <w:b w:val="0"/>
                <w:sz w:val="19"/>
              </w:rPr>
              <w:t>必须交付及拟执行的额外交付模型tokenizer校验值均已登记且B0/B1一致</w:t>
            </w:r>
          </w:p>
        </w:tc>
      </w:tr>
      <w:tr w14:paraId="06D2DE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8511AE9">
            <w:r>
              <w:rPr>
                <w:rFonts w:ascii="宋体" w:hAnsi="宋体" w:eastAsia="宋体"/>
                <w:b w:val="0"/>
                <w:sz w:val="19"/>
              </w:rPr>
              <w:t>确定性转换门禁</w:t>
            </w:r>
          </w:p>
        </w:tc>
        <w:tc>
          <w:tcPr>
            <w:tcW w:w="1661" w:type="dxa"/>
          </w:tcPr>
          <w:p w14:paraId="218E2A03">
            <w:r>
              <w:rPr>
                <w:rFonts w:ascii="宋体" w:hAnsi="宋体" w:eastAsia="宋体"/>
                <w:b w:val="0"/>
                <w:sz w:val="19"/>
              </w:rPr>
              <w:t>数据确定性窗口化/转换程序尚未完成验证锁定</w:t>
            </w:r>
          </w:p>
        </w:tc>
        <w:tc>
          <w:tcPr>
            <w:tcW w:w="1661" w:type="dxa"/>
          </w:tcPr>
          <w:p w14:paraId="12008CC9">
            <w:r>
              <w:rPr>
                <w:rFonts w:ascii="宋体" w:hAnsi="宋体" w:eastAsia="宋体"/>
                <w:b w:val="0"/>
                <w:sz w:val="19"/>
              </w:rPr>
              <w:t>课题组</w:t>
            </w:r>
          </w:p>
        </w:tc>
        <w:tc>
          <w:tcPr>
            <w:tcW w:w="1661" w:type="dxa"/>
          </w:tcPr>
          <w:p w14:paraId="475FFA58">
            <w:r>
              <w:rPr>
                <w:rFonts w:ascii="宋体" w:hAnsi="宋体" w:eastAsia="宋体"/>
                <w:b w:val="0"/>
                <w:sz w:val="19"/>
              </w:rPr>
              <w:t>冻结转换程序版本并生成内容hash，通过后按本方案4.5.2节数据配置流程接入正式data_profile</w:t>
            </w:r>
          </w:p>
        </w:tc>
        <w:tc>
          <w:tcPr>
            <w:tcW w:w="1661" w:type="dxa"/>
          </w:tcPr>
          <w:p w14:paraId="4450EF1D">
            <w:r>
              <w:rPr>
                <w:rFonts w:ascii="宋体" w:hAnsi="宋体" w:eastAsia="宋体"/>
                <w:b w:val="0"/>
                <w:sz w:val="19"/>
              </w:rPr>
              <w:t>转换程序版本、种子、hash均已登记且可复算</w:t>
            </w:r>
          </w:p>
        </w:tc>
      </w:tr>
      <w:tr w14:paraId="399F8D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85D4CBF">
            <w:r>
              <w:rPr>
                <w:rFonts w:ascii="宋体" w:hAnsi="宋体" w:eastAsia="宋体"/>
                <w:b w:val="0"/>
                <w:sz w:val="19"/>
              </w:rPr>
              <w:t>35B代表模型口径</w:t>
            </w:r>
          </w:p>
        </w:tc>
        <w:tc>
          <w:tcPr>
            <w:tcW w:w="1661" w:type="dxa"/>
          </w:tcPr>
          <w:p w14:paraId="2EFFD32B">
            <w:r>
              <w:rPr>
                <w:rFonts w:ascii="宋体" w:hAnsi="宋体" w:eastAsia="宋体"/>
                <w:b w:val="0"/>
                <w:sz w:val="19"/>
              </w:rPr>
              <w:t>浦江实验室已确定Qwen3.5-35B-A3B双卡（TP=2）为必须交付主验收模型</w:t>
            </w:r>
          </w:p>
        </w:tc>
        <w:tc>
          <w:tcPr>
            <w:tcW w:w="1661" w:type="dxa"/>
          </w:tcPr>
          <w:p w14:paraId="44F66D9E">
            <w:r>
              <w:rPr>
                <w:rFonts w:ascii="宋体" w:hAnsi="宋体" w:eastAsia="宋体"/>
                <w:b w:val="0"/>
                <w:sz w:val="19"/>
              </w:rPr>
              <w:t>浦江实验室/课题组</w:t>
            </w:r>
          </w:p>
        </w:tc>
        <w:tc>
          <w:tcPr>
            <w:tcW w:w="1661" w:type="dxa"/>
          </w:tcPr>
          <w:p w14:paraId="15D05632">
            <w:r>
              <w:rPr>
                <w:rFonts w:ascii="宋体" w:hAnsi="宋体" w:eastAsia="宋体"/>
                <w:b w:val="0"/>
                <w:sz w:val="19"/>
              </w:rPr>
              <w:t>全文和执行包统一按35B口径生成</w:t>
            </w:r>
          </w:p>
        </w:tc>
        <w:tc>
          <w:tcPr>
            <w:tcW w:w="1661" w:type="dxa"/>
          </w:tcPr>
          <w:p w14:paraId="1278F90E">
            <w:r>
              <w:rPr>
                <w:rFonts w:ascii="宋体" w:hAnsi="宋体" w:eastAsia="宋体"/>
                <w:b w:val="0"/>
                <w:sz w:val="19"/>
              </w:rPr>
              <w:t>表附-8、启动配置、数据manifest和报告仅使用35B必须交付验收角色</w:t>
            </w:r>
          </w:p>
        </w:tc>
      </w:tr>
      <w:tr w14:paraId="251CCB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57D96B7">
            <w:r>
              <w:rPr>
                <w:rFonts w:ascii="宋体" w:hAnsi="宋体" w:eastAsia="宋体"/>
                <w:b w:val="0"/>
                <w:sz w:val="19"/>
              </w:rPr>
              <w:t>35B B0结果的配置与来源回执</w:t>
            </w:r>
          </w:p>
        </w:tc>
        <w:tc>
          <w:tcPr>
            <w:tcW w:w="1661" w:type="dxa"/>
          </w:tcPr>
          <w:p w14:paraId="4FAA1AFF">
            <w:r>
              <w:rPr>
                <w:rFonts w:ascii="宋体" w:hAnsi="宋体" w:eastAsia="宋体"/>
                <w:b w:val="0"/>
                <w:sz w:val="19"/>
              </w:rPr>
              <w:t>现有《35B B0 baseline.xlsx》仅包含21个数据集的请求吞吐、输出吞吐、总吞吐、TTFT和TPOT数值，未绑定模型、命令、生效配置、运行记录和证据根，不能单独作为正式B0证据</w:t>
            </w:r>
          </w:p>
        </w:tc>
        <w:tc>
          <w:tcPr>
            <w:tcW w:w="1661" w:type="dxa"/>
          </w:tcPr>
          <w:p w14:paraId="7205DBC8">
            <w:r>
              <w:rPr>
                <w:rFonts w:ascii="宋体" w:hAnsi="宋体" w:eastAsia="宋体"/>
                <w:b w:val="0"/>
                <w:sz w:val="19"/>
              </w:rPr>
              <w:t>B0执行工程师</w:t>
            </w:r>
          </w:p>
        </w:tc>
        <w:tc>
          <w:tcPr>
            <w:tcW w:w="1661" w:type="dxa"/>
          </w:tcPr>
          <w:p w14:paraId="1A31D518">
            <w:r>
              <w:rPr>
                <w:rFonts w:ascii="宋体" w:hAnsi="宋体" w:eastAsia="宋体"/>
                <w:b w:val="0"/>
                <w:sz w:val="19"/>
              </w:rPr>
              <w:t>提供与该结果表SHA-256相互绑定的完整server argv、client contract、effective/startup receipt、模型与tokenizer manifest、数据及到达序列、镜像和代码身份</w:t>
            </w:r>
          </w:p>
        </w:tc>
        <w:tc>
          <w:tcPr>
            <w:tcW w:w="1661" w:type="dxa"/>
          </w:tcPr>
          <w:p w14:paraId="2F2BCE76">
            <w:r>
              <w:rPr>
                <w:rFonts w:ascii="宋体" w:hAnsi="宋体" w:eastAsia="宋体"/>
                <w:b w:val="0"/>
                <w:sz w:val="19"/>
              </w:rPr>
              <w:t>所有性能相关字段可逐项生成唯一命令，并与结果表及原始请求统一签名后，才可纳入正式B0</w:t>
            </w:r>
          </w:p>
        </w:tc>
      </w:tr>
      <w:tr w14:paraId="6CB4CA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317BC9B">
            <w:r>
              <w:rPr>
                <w:rFonts w:ascii="宋体" w:hAnsi="宋体" w:eastAsia="宋体"/>
                <w:b w:val="0"/>
                <w:sz w:val="19"/>
              </w:rPr>
              <w:t>A3/A4 SLO与区间参数</w:t>
            </w:r>
          </w:p>
        </w:tc>
        <w:tc>
          <w:tcPr>
            <w:tcW w:w="1661" w:type="dxa"/>
          </w:tcPr>
          <w:p w14:paraId="7CFEAB13">
            <w:r>
              <w:rPr>
                <w:rFonts w:ascii="宋体" w:hAnsi="宋体" w:eastAsia="宋体"/>
                <w:b w:val="0"/>
                <w:sz w:val="19"/>
              </w:rPr>
              <w:t>表4-2b已固定A3与A4有效区间及绝对SLO；A3的Prefill吞吐仅作诊断证据</w:t>
            </w:r>
          </w:p>
        </w:tc>
        <w:tc>
          <w:tcPr>
            <w:tcW w:w="1661" w:type="dxa"/>
          </w:tcPr>
          <w:p w14:paraId="4359E6D6">
            <w:r>
              <w:rPr>
                <w:rFonts w:ascii="宋体" w:hAnsi="宋体" w:eastAsia="宋体"/>
                <w:b w:val="0"/>
                <w:sz w:val="19"/>
              </w:rPr>
              <w:t>课题组/第三方测试机构</w:t>
            </w:r>
          </w:p>
        </w:tc>
        <w:tc>
          <w:tcPr>
            <w:tcW w:w="1661" w:type="dxa"/>
          </w:tcPr>
          <w:p w14:paraId="3A06E053">
            <w:r>
              <w:rPr>
                <w:rFonts w:ascii="宋体" w:hAnsi="宋体" w:eastAsia="宋体"/>
                <w:b w:val="0"/>
                <w:sz w:val="19"/>
              </w:rPr>
              <w:t>按固定SLO生成config_id；保存B0 Prefill诊断值，但不得用于反推、放宽或修改阈值</w:t>
            </w:r>
          </w:p>
        </w:tc>
        <w:tc>
          <w:tcPr>
            <w:tcW w:w="1661" w:type="dxa"/>
          </w:tcPr>
          <w:p w14:paraId="28160FC8">
            <w:r>
              <w:rPr>
                <w:rFonts w:ascii="宋体" w:hAnsi="宋体" w:eastAsia="宋体"/>
                <w:b w:val="0"/>
                <w:sz w:val="19"/>
              </w:rPr>
              <w:t>固定SLO、区间和判定程序进入签名配置；不存在临场调参或事后修改判定口径</w:t>
            </w:r>
          </w:p>
        </w:tc>
      </w:tr>
      <w:tr w14:paraId="6BEC1B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2EFB553">
            <w:r>
              <w:rPr>
                <w:rFonts w:ascii="宋体" w:hAnsi="宋体" w:eastAsia="宋体"/>
                <w:b w:val="0"/>
                <w:sz w:val="19"/>
              </w:rPr>
              <w:t>额外交付配置冻结</w:t>
            </w:r>
          </w:p>
        </w:tc>
        <w:tc>
          <w:tcPr>
            <w:tcW w:w="1661" w:type="dxa"/>
          </w:tcPr>
          <w:p w14:paraId="18C5339B">
            <w:r>
              <w:rPr>
                <w:rFonts w:ascii="宋体" w:hAnsi="宋体" w:eastAsia="宋体"/>
                <w:b w:val="0"/>
                <w:sz w:val="19"/>
              </w:rPr>
              <w:t>本版E1、E2-G和E2-D统一冻结为active=false、NOT_EXECUTED_OPTIONAL</w:t>
            </w:r>
          </w:p>
        </w:tc>
        <w:tc>
          <w:tcPr>
            <w:tcW w:w="1661" w:type="dxa"/>
          </w:tcPr>
          <w:p w14:paraId="1A5EC48B">
            <w:r>
              <w:rPr>
                <w:rFonts w:ascii="宋体" w:hAnsi="宋体" w:eastAsia="宋体"/>
                <w:b w:val="0"/>
                <w:sz w:val="19"/>
              </w:rPr>
              <w:t>课题组、派欧云</w:t>
            </w:r>
          </w:p>
        </w:tc>
        <w:tc>
          <w:tcPr>
            <w:tcW w:w="1661" w:type="dxa"/>
          </w:tcPr>
          <w:p w14:paraId="3A8E810C">
            <w:r>
              <w:rPr>
                <w:rFonts w:ascii="宋体" w:hAnsi="宋体" w:eastAsia="宋体"/>
                <w:b w:val="0"/>
                <w:sz w:val="19"/>
              </w:rPr>
              <w:t>不注册正式target、config_id或测量队列；后续启用必须发布新版本并完整冻结执行合同</w:t>
            </w:r>
          </w:p>
        </w:tc>
        <w:tc>
          <w:tcPr>
            <w:tcW w:w="1661" w:type="dxa"/>
          </w:tcPr>
          <w:p w14:paraId="7BFCE3CF">
            <w:r>
              <w:rPr>
                <w:rFonts w:ascii="宋体" w:hAnsi="宋体" w:eastAsia="宋体"/>
                <w:b w:val="0"/>
                <w:sz w:val="19"/>
              </w:rPr>
              <w:t>本版registry中不存在可执行E1/E2 target；状态不阻塞A1—A4必须交付</w:t>
            </w:r>
          </w:p>
        </w:tc>
      </w:tr>
      <w:tr w14:paraId="397B43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B1AE804">
            <w:r>
              <w:rPr>
                <w:rFonts w:ascii="宋体" w:hAnsi="宋体" w:eastAsia="宋体"/>
                <w:b w:val="0"/>
                <w:sz w:val="19"/>
              </w:rPr>
              <w:t>swe-prefix-reuse状态</w:t>
            </w:r>
          </w:p>
        </w:tc>
        <w:tc>
          <w:tcPr>
            <w:tcW w:w="1661" w:type="dxa"/>
          </w:tcPr>
          <w:p w14:paraId="6B7CA463">
            <w:r>
              <w:rPr>
                <w:rFonts w:ascii="宋体" w:hAnsi="宋体" w:eastAsia="宋体"/>
                <w:b w:val="0"/>
                <w:sz w:val="19"/>
              </w:rPr>
              <w:t>本版不启用该补充负载的正式target</w:t>
            </w:r>
          </w:p>
        </w:tc>
        <w:tc>
          <w:tcPr>
            <w:tcW w:w="1661" w:type="dxa"/>
          </w:tcPr>
          <w:p w14:paraId="32AA126E">
            <w:r>
              <w:rPr>
                <w:rFonts w:ascii="宋体" w:hAnsi="宋体" w:eastAsia="宋体"/>
                <w:b w:val="0"/>
                <w:sz w:val="19"/>
              </w:rPr>
              <w:t>课题组</w:t>
            </w:r>
          </w:p>
        </w:tc>
        <w:tc>
          <w:tcPr>
            <w:tcW w:w="1661" w:type="dxa"/>
          </w:tcPr>
          <w:p w14:paraId="43CC10E6">
            <w:r>
              <w:rPr>
                <w:rFonts w:ascii="宋体" w:hAnsi="宋体" w:eastAsia="宋体"/>
                <w:b w:val="0"/>
                <w:sz w:val="19"/>
              </w:rPr>
              <w:t>如后续启用，发布新版本并完整固化仓库、轨迹池、prepared文件、并发和时长</w:t>
            </w:r>
          </w:p>
        </w:tc>
        <w:tc>
          <w:tcPr>
            <w:tcW w:w="1661" w:type="dxa"/>
          </w:tcPr>
          <w:p w14:paraId="12568950">
            <w:r>
              <w:rPr>
                <w:rFonts w:ascii="宋体" w:hAnsi="宋体" w:eastAsia="宋体"/>
                <w:b w:val="0"/>
                <w:sz w:val="19"/>
              </w:rPr>
              <w:t>未执行状态不影响A1—A4必须交付结论</w:t>
            </w:r>
          </w:p>
        </w:tc>
      </w:tr>
      <w:tr w14:paraId="038137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29F4606">
            <w:r>
              <w:rPr>
                <w:rFonts w:ascii="宋体" w:hAnsi="宋体" w:eastAsia="宋体"/>
                <w:b w:val="0"/>
                <w:sz w:val="19"/>
              </w:rPr>
              <w:t>B0协议兼容性</w:t>
            </w:r>
          </w:p>
        </w:tc>
        <w:tc>
          <w:tcPr>
            <w:tcW w:w="1661" w:type="dxa"/>
          </w:tcPr>
          <w:p w14:paraId="2A24BC58">
            <w:r>
              <w:rPr>
                <w:rFonts w:ascii="宋体" w:hAnsi="宋体" w:eastAsia="宋体"/>
                <w:b w:val="0"/>
                <w:sz w:val="19"/>
              </w:rPr>
              <w:t>B0（vLLM 0.18）是否支持return_token_ids、prompt ID回显与cache_salt未验证</w:t>
            </w:r>
          </w:p>
        </w:tc>
        <w:tc>
          <w:tcPr>
            <w:tcW w:w="1661" w:type="dxa"/>
          </w:tcPr>
          <w:p w14:paraId="72A79A93">
            <w:r>
              <w:rPr>
                <w:rFonts w:ascii="宋体" w:hAnsi="宋体" w:eastAsia="宋体"/>
                <w:b w:val="0"/>
                <w:sz w:val="19"/>
              </w:rPr>
              <w:t>课题组</w:t>
            </w:r>
          </w:p>
        </w:tc>
        <w:tc>
          <w:tcPr>
            <w:tcW w:w="1661" w:type="dxa"/>
          </w:tcPr>
          <w:p w14:paraId="42CC4CB6">
            <w:r>
              <w:rPr>
                <w:rFonts w:ascii="宋体" w:hAnsi="宋体" w:eastAsia="宋体"/>
                <w:b w:val="0"/>
                <w:sz w:val="19"/>
              </w:rPr>
              <w:t>在资格化阶段对B0/B1执行工具协议核验</w:t>
            </w:r>
          </w:p>
        </w:tc>
        <w:tc>
          <w:tcPr>
            <w:tcW w:w="1661" w:type="dxa"/>
          </w:tcPr>
          <w:p w14:paraId="2441E70D">
            <w:r>
              <w:rPr>
                <w:rFonts w:ascii="宋体" w:hAnsi="宋体" w:eastAsia="宋体"/>
                <w:b w:val="0"/>
                <w:sz w:val="19"/>
              </w:rPr>
              <w:t>两侧均通过协议核验；否则补充项记CANNOT_DETERMINE</w:t>
            </w:r>
          </w:p>
        </w:tc>
      </w:tr>
      <w:tr w14:paraId="65852C4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68" w:type="dxa"/>
          </w:tcPr>
          <w:p w14:paraId="5C19BF3A">
            <w:r>
              <w:rPr>
                <w:sz w:val="19"/>
              </w:rPr>
              <w:t>浦江五项源快照资格化</w:t>
            </w:r>
          </w:p>
        </w:tc>
        <w:tc>
          <w:tcPr>
            <w:tcW w:w="1850" w:type="dxa"/>
          </w:tcPr>
          <w:p w14:paraId="7261BFF5">
            <w:r>
              <w:rPr>
                <w:sz w:val="19"/>
              </w:rPr>
              <w:t>五项源快照已冻结并通过1135项SHA-256校验；尚未完成正式registry、scorer、执行合同和镜像资格化</w:t>
            </w:r>
          </w:p>
        </w:tc>
        <w:tc>
          <w:tcPr>
            <w:tcW w:w="1033" w:type="dxa"/>
          </w:tcPr>
          <w:p w14:paraId="7B49C609">
            <w:r>
              <w:rPr>
                <w:sz w:val="19"/>
              </w:rPr>
              <w:t>课题组、数据安全、第三方</w:t>
            </w:r>
          </w:p>
        </w:tc>
        <w:tc>
          <w:tcPr>
            <w:tcW w:w="2303" w:type="dxa"/>
          </w:tcPr>
          <w:p w14:paraId="0C6F2E29">
            <w:r>
              <w:rPr>
                <w:sz w:val="19"/>
              </w:rPr>
              <w:t>以/root/vllm-hust-eval-data/pujiang-five/MANIFEST.json和SHA256SUMS为入口，按表4-5a补齐缺口并登记正式config_id</w:t>
            </w:r>
          </w:p>
        </w:tc>
        <w:tc>
          <w:tcPr>
            <w:tcW w:w="1668" w:type="dxa"/>
          </w:tcPr>
          <w:p w14:paraId="1473488E">
            <w:r>
              <w:rPr>
                <w:sz w:val="19"/>
              </w:rPr>
              <w:t>五项分别达到EXECUTABLE且B0/B1合同一致；否则记CANNOT_DETERMINE，不得换题、降档或沿用旧遥测</w:t>
            </w:r>
          </w:p>
        </w:tc>
      </w:tr>
    </w:tbl>
    <w:p w14:paraId="6AD637F3">
      <w:pPr>
        <w:widowControl/>
        <w:spacing w:before="0" w:after="0" w:line="560" w:lineRule="exact"/>
        <w:ind w:left="0" w:right="0" w:firstLine="560"/>
        <w:jc w:val="both"/>
      </w:pPr>
      <w:r>
        <w:rPr>
          <w:rFonts w:ascii="Times New Roman" w:hAnsi="Times New Roman" w:eastAsia="仿宋_GB2312"/>
          <w:sz w:val="28"/>
        </w:rPr>
        <w:t>上述门禁按项独立跟踪：任一单项解除后可先行启用对应A项的正式测试目标，未解除项按CANNOT_DETERMINE记录阻塞原因，不整体阻塞已具备条件的A1—A4子项。</w:t>
      </w: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DAA8878-129C-4555-8403-A6FC63356AD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9AD32238-3919-4467-92D5-4EA1B1E801D8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387DD879-54B5-41AD-997D-4716ECA41F13}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FangSong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  <w:embedRegular r:id="rId4" w:fontKey="{61033A04-61FB-410F-8794-EB5CEF00D841}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5" w:fontKey="{BBDCA1C8-325F-423B-9E4F-441A70A80F84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EEC40">
    <w:pPr>
      <w:pStyle w:val="11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3" name="文本框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3E490E">
                          <w:pPr>
                            <w:pStyle w:val="11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AA3M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9d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L2AA3M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3E490E">
                    <w:pPr>
                      <w:pStyle w:val="11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FE131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A45CC"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DFF29">
    <w:pPr>
      <w:framePr w:wrap="around" w:vAnchor="text" w:hAnchor="margin" w:xAlign="center" w:y="1"/>
      <w:widowControl w:val="0"/>
      <w:snapToGrid w:val="0"/>
      <w:jc w:val="left"/>
      <w:rPr>
        <w:rStyle w:val="21"/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  <w:r>
      <w:rPr>
        <w:rStyle w:val="21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fldChar w:fldCharType="begin"/>
    </w:r>
    <w:r>
      <w:rPr>
        <w:rStyle w:val="21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instrText xml:space="preserve">PAGE  </w:instrText>
    </w:r>
    <w:r>
      <w:rPr>
        <w:rStyle w:val="21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fldChar w:fldCharType="separate"/>
    </w:r>
    <w:r>
      <w:rPr>
        <w:rStyle w:val="21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t>1</w:t>
    </w:r>
    <w:r>
      <w:rPr>
        <w:rStyle w:val="21"/>
        <w:rFonts w:ascii="Times New Roman" w:hAnsi="Times New Roman" w:eastAsia="宋体" w:cs="Times New Roman"/>
        <w:kern w:val="2"/>
        <w:sz w:val="21"/>
        <w:szCs w:val="24"/>
        <w:lang w:val="en-US" w:eastAsia="zh-CN" w:bidi="ar-SA"/>
      </w:rPr>
      <w:fldChar w:fldCharType="end"/>
    </w:r>
  </w:p>
  <w:p w14:paraId="5987EAF9">
    <w:pPr>
      <w:widowControl w:val="0"/>
      <w:snapToGrid w:val="0"/>
      <w:jc w:val="left"/>
      <w:rPr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C58B4">
    <w:pPr>
      <w:pStyle w:val="11"/>
      <w:spacing w:before="120" w:after="120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7" name="文本框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E49617">
                          <w:pPr>
                            <w:pStyle w:val="11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yiAgz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ryiAg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E49617">
                    <w:pPr>
                      <w:pStyle w:val="11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EA5656">
    <w:pPr>
      <w:pStyle w:val="12"/>
      <w:pBdr>
        <w:bottom w:val="none" w:color="auto" w:sz="0" w:space="0"/>
      </w:pBdr>
      <w:jc w:val="both"/>
      <w:rPr>
        <w:rFonts w:ascii="黑体" w:hAnsi="黑体" w:eastAsia="黑体"/>
        <w:sz w:val="10"/>
        <w:szCs w:val="1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B7353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0B88F">
    <w:pPr>
      <w:pStyle w:val="1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A3476">
    <w:pPr>
      <w:widowControl w:val="0"/>
      <w:pBdr>
        <w:bottom w:val="none" w:color="auto" w:sz="0" w:space="1"/>
      </w:pBdr>
      <w:snapToGrid w:val="0"/>
      <w:jc w:val="center"/>
      <w:rPr>
        <w:rFonts w:ascii="Times New Roman" w:hAnsi="Times New Roman" w:eastAsia="宋体" w:cs="Times New Roman"/>
        <w:kern w:val="2"/>
        <w:sz w:val="18"/>
        <w:szCs w:val="18"/>
        <w:lang w:val="en-US" w:eastAsia="zh-CN" w:bidi="ar-SA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E78A2">
    <w:pPr>
      <w:tabs>
        <w:tab w:val="left" w:pos="420"/>
      </w:tabs>
      <w:spacing w:before="120" w:after="120"/>
      <w:ind w:left="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F8D37"/>
    <w:multiLevelType w:val="multilevel"/>
    <w:tmpl w:val="9A4F8D37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420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tabs>
          <w:tab w:val="left" w:pos="420"/>
        </w:tabs>
        <w:ind w:left="720" w:hanging="720"/>
      </w:pPr>
      <w:rPr>
        <w:rFonts w:hint="default"/>
        <w:b/>
        <w:bCs/>
        <w:sz w:val="24"/>
        <w:szCs w:val="24"/>
      </w:rPr>
    </w:lvl>
    <w:lvl w:ilvl="3" w:tentative="0">
      <w:start w:val="1"/>
      <w:numFmt w:val="none"/>
      <w:suff w:val="nothing"/>
      <w:lvlText w:val=""/>
      <w:lvlJc w:val="left"/>
      <w:pPr>
        <w:tabs>
          <w:tab w:val="left" w:pos="420"/>
        </w:tabs>
        <w:ind w:left="864" w:hanging="864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1008" w:hanging="1008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1151" w:hanging="1151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1296" w:hanging="1296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1440" w:hanging="1440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1583" w:hanging="1583"/>
      </w:pPr>
      <w:rPr>
        <w:rFonts w:hint="default"/>
      </w:rPr>
    </w:lvl>
  </w:abstractNum>
  <w:abstractNum w:abstractNumId="1">
    <w:nsid w:val="DBF66C63"/>
    <w:multiLevelType w:val="multilevel"/>
    <w:tmpl w:val="DBF66C63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420"/>
        </w:tabs>
        <w:ind w:left="575" w:hanging="575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tabs>
          <w:tab w:val="left" w:pos="420"/>
        </w:tabs>
        <w:ind w:left="720" w:hanging="720"/>
      </w:pPr>
      <w:rPr>
        <w:rFonts w:hint="default"/>
      </w:rPr>
    </w:lvl>
    <w:lvl w:ilvl="3" w:tentative="0">
      <w:start w:val="1"/>
      <w:numFmt w:val="none"/>
      <w:suff w:val="nothing"/>
      <w:lvlText w:val=""/>
      <w:lvlJc w:val="left"/>
      <w:pPr>
        <w:tabs>
          <w:tab w:val="left" w:pos="420"/>
        </w:tabs>
        <w:ind w:left="864" w:hanging="864"/>
      </w:pPr>
      <w:rPr>
        <w:rFonts w:hint="default"/>
      </w:rPr>
    </w:lvl>
    <w:lvl w:ilvl="4" w:tentative="0">
      <w:start w:val="1"/>
      <w:numFmt w:val="none"/>
      <w:pStyle w:val="6"/>
      <w:lvlText w:val=""/>
      <w:lvlJc w:val="left"/>
      <w:pPr>
        <w:ind w:left="1008" w:hanging="1008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1151" w:hanging="1151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1296" w:hanging="1296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1440" w:hanging="1440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1583" w:hanging="1583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004111"/>
    <w:rsid w:val="02ED7EC0"/>
    <w:rsid w:val="05004111"/>
    <w:rsid w:val="09103B6D"/>
    <w:rsid w:val="0B720D63"/>
    <w:rsid w:val="0B9B6BDB"/>
    <w:rsid w:val="0BEB76A8"/>
    <w:rsid w:val="0EC300BA"/>
    <w:rsid w:val="11BB6F0D"/>
    <w:rsid w:val="177912AB"/>
    <w:rsid w:val="19114C5D"/>
    <w:rsid w:val="1DAF1B50"/>
    <w:rsid w:val="1E3649B9"/>
    <w:rsid w:val="20BD49F1"/>
    <w:rsid w:val="20EC135F"/>
    <w:rsid w:val="22DF2529"/>
    <w:rsid w:val="23FD4289"/>
    <w:rsid w:val="24141145"/>
    <w:rsid w:val="25BF23F9"/>
    <w:rsid w:val="274720A7"/>
    <w:rsid w:val="2A743136"/>
    <w:rsid w:val="2C054310"/>
    <w:rsid w:val="2CD36083"/>
    <w:rsid w:val="2F652ED9"/>
    <w:rsid w:val="2F747686"/>
    <w:rsid w:val="30DF67EA"/>
    <w:rsid w:val="33B809F0"/>
    <w:rsid w:val="35B3254E"/>
    <w:rsid w:val="35BD2D94"/>
    <w:rsid w:val="35F45D35"/>
    <w:rsid w:val="35FF348B"/>
    <w:rsid w:val="38937DE6"/>
    <w:rsid w:val="39557B6F"/>
    <w:rsid w:val="40966309"/>
    <w:rsid w:val="41770ACF"/>
    <w:rsid w:val="433520D9"/>
    <w:rsid w:val="444464F0"/>
    <w:rsid w:val="48CB0E7D"/>
    <w:rsid w:val="4ABD539C"/>
    <w:rsid w:val="4C017BF3"/>
    <w:rsid w:val="4D665E71"/>
    <w:rsid w:val="4E381212"/>
    <w:rsid w:val="4E3973D6"/>
    <w:rsid w:val="4FFFF3E6"/>
    <w:rsid w:val="556D68CC"/>
    <w:rsid w:val="5625331B"/>
    <w:rsid w:val="56E10A3A"/>
    <w:rsid w:val="5C114759"/>
    <w:rsid w:val="5E7E6F41"/>
    <w:rsid w:val="5EB64DCF"/>
    <w:rsid w:val="642D6AD9"/>
    <w:rsid w:val="64C55554"/>
    <w:rsid w:val="65744A4C"/>
    <w:rsid w:val="663B096D"/>
    <w:rsid w:val="678D7711"/>
    <w:rsid w:val="694D708A"/>
    <w:rsid w:val="69A40633"/>
    <w:rsid w:val="6A8763AD"/>
    <w:rsid w:val="6DE73D7E"/>
    <w:rsid w:val="6E941727"/>
    <w:rsid w:val="6EF7A7CF"/>
    <w:rsid w:val="765774B2"/>
    <w:rsid w:val="77703CC2"/>
    <w:rsid w:val="7B9D06CB"/>
    <w:rsid w:val="7D680004"/>
    <w:rsid w:val="7D7E20EA"/>
    <w:rsid w:val="7E4609ED"/>
    <w:rsid w:val="BFFF4AFB"/>
    <w:rsid w:val="D7744D28"/>
    <w:rsid w:val="DB36C5AE"/>
    <w:rsid w:val="DCF766FB"/>
    <w:rsid w:val="DD7932DE"/>
    <w:rsid w:val="FB8F23A1"/>
    <w:rsid w:val="FDE93C33"/>
    <w:rsid w:val="FDFFBC57"/>
    <w:rsid w:val="FEFFAB9B"/>
    <w:rsid w:val="FFFB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numPr>
        <w:ilvl w:val="0"/>
        <w:numId w:val="1"/>
      </w:numPr>
    </w:pPr>
    <w:rPr>
      <w:rFonts w:ascii="Times New Roman" w:hAnsi="Times New Roman" w:eastAsia="黑体" w:cs="Times New Roman"/>
      <w:b/>
      <w:sz w:val="32"/>
      <w:szCs w:val="32"/>
    </w:rPr>
  </w:style>
  <w:style w:type="paragraph" w:styleId="3">
    <w:name w:val="heading 2"/>
    <w:basedOn w:val="1"/>
    <w:next w:val="4"/>
    <w:unhideWhenUsed/>
    <w:qFormat/>
    <w:uiPriority w:val="9"/>
    <w:pPr>
      <w:numPr>
        <w:ilvl w:val="1"/>
        <w:numId w:val="2"/>
      </w:numPr>
      <w:outlineLvl w:val="1"/>
    </w:pPr>
    <w:rPr>
      <w:rFonts w:ascii="Times New Roman" w:hAnsi="Times New Roman" w:eastAsia="黑体" w:cs="Times New Roman"/>
    </w:rPr>
  </w:style>
  <w:style w:type="paragraph" w:styleId="5">
    <w:name w:val="heading 3"/>
    <w:basedOn w:val="3"/>
    <w:next w:val="4"/>
    <w:unhideWhenUsed/>
    <w:qFormat/>
    <w:uiPriority w:val="0"/>
    <w:pPr>
      <w:numPr>
        <w:ilvl w:val="2"/>
      </w:numPr>
      <w:outlineLvl w:val="2"/>
    </w:pPr>
    <w:rPr>
      <w:rFonts w:ascii="华文仿宋" w:hAnsi="华文仿宋" w:eastAsia="华文仿宋" w:cs="华文仿宋"/>
      <w:b/>
    </w:rPr>
  </w:style>
  <w:style w:type="paragraph" w:styleId="6">
    <w:name w:val="heading 4"/>
    <w:basedOn w:val="5"/>
    <w:next w:val="1"/>
    <w:unhideWhenUsed/>
    <w:qFormat/>
    <w:uiPriority w:val="0"/>
    <w:pPr>
      <w:numPr>
        <w:ilvl w:val="4"/>
        <w:numId w:val="1"/>
      </w:numPr>
      <w:spacing w:before="50" w:after="50"/>
      <w:ind w:left="641" w:hanging="641" w:hangingChars="200"/>
      <w:outlineLvl w:val="3"/>
    </w:p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格式"/>
    <w:qFormat/>
    <w:uiPriority w:val="0"/>
    <w:pPr>
      <w:widowControl/>
      <w:adjustRightInd w:val="0"/>
      <w:snapToGrid w:val="0"/>
      <w:spacing w:line="360" w:lineRule="atLeast"/>
      <w:ind w:firstLine="482"/>
      <w:jc w:val="both"/>
      <w:textAlignment w:val="baseline"/>
    </w:pPr>
    <w:rPr>
      <w:rFonts w:ascii="Times New Roman" w:hAnsi="Times New Roman" w:eastAsia="宋体" w:cs="Times New Roman"/>
      <w:kern w:val="0"/>
      <w:sz w:val="24"/>
      <w:szCs w:val="20"/>
      <w:lang w:val="en-US" w:eastAsia="zh-CN" w:bidi="ar-SA"/>
    </w:rPr>
  </w:style>
  <w:style w:type="paragraph" w:styleId="7">
    <w:name w:val="Normal Indent"/>
    <w:qFormat/>
    <w:uiPriority w:val="0"/>
    <w:pPr>
      <w:widowControl w:val="0"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Body Text"/>
    <w:basedOn w:val="1"/>
    <w:unhideWhenUsed/>
    <w:qFormat/>
    <w:uiPriority w:val="99"/>
    <w:pPr>
      <w:spacing w:before="156" w:beforeLines="50" w:line="480" w:lineRule="exact"/>
      <w:ind w:firstLine="480" w:firstLineChars="200"/>
    </w:pPr>
    <w:rPr>
      <w:rFonts w:ascii="Times New Roman" w:hAnsi="Times New Roman" w:eastAsia="FangSong_GB2312" w:cs="Times New Roman"/>
      <w:color w:val="000000"/>
      <w:sz w:val="24"/>
      <w:szCs w:val="24"/>
    </w:rPr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</w:style>
  <w:style w:type="paragraph" w:styleId="14">
    <w:name w:val="toc 4"/>
    <w:basedOn w:val="1"/>
    <w:next w:val="1"/>
    <w:qFormat/>
    <w:uiPriority w:val="0"/>
    <w:pPr>
      <w:ind w:left="1260" w:leftChars="600"/>
    </w:p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tabs>
        <w:tab w:val="left" w:pos="420"/>
      </w:tabs>
      <w:spacing w:before="0" w:beforeAutospacing="1" w:after="0" w:afterAutospacing="1"/>
      <w:ind w:left="0"/>
    </w:pPr>
    <w:rPr>
      <w:rFonts w:cs="Times New Roman"/>
      <w:kern w:val="0"/>
    </w:rPr>
  </w:style>
  <w:style w:type="table" w:styleId="18">
    <w:name w:val="Table Grid"/>
    <w:basedOn w:val="1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basedOn w:val="19"/>
    <w:qFormat/>
    <w:uiPriority w:val="22"/>
    <w:rPr>
      <w:b/>
    </w:rPr>
  </w:style>
  <w:style w:type="character" w:styleId="21">
    <w:name w:val="page number"/>
    <w:qFormat/>
    <w:uiPriority w:val="0"/>
  </w:style>
  <w:style w:type="character" w:styleId="22">
    <w:name w:val="Hyperlink"/>
    <w:basedOn w:val="19"/>
    <w:qFormat/>
    <w:uiPriority w:val="0"/>
    <w:rPr>
      <w:color w:val="0000FF"/>
      <w:u w:val="single"/>
    </w:rPr>
  </w:style>
  <w:style w:type="character" w:styleId="23">
    <w:name w:val="annotation reference"/>
    <w:basedOn w:val="19"/>
    <w:qFormat/>
    <w:uiPriority w:val="0"/>
    <w:rPr>
      <w:sz w:val="21"/>
      <w:szCs w:val="21"/>
    </w:rPr>
  </w:style>
  <w:style w:type="paragraph" w:styleId="24">
    <w:name w:val="List Paragraph"/>
    <w:basedOn w:val="1"/>
    <w:unhideWhenUsed/>
    <w:qFormat/>
    <w:uiPriority w:val="99"/>
    <w:pPr>
      <w:tabs>
        <w:tab w:val="left" w:pos="420"/>
      </w:tabs>
      <w:ind w:firstLine="420" w:firstLineChars="200"/>
    </w:pPr>
  </w:style>
  <w:style w:type="paragraph" w:customStyle="1" w:styleId="25">
    <w:name w:val="文件名称"/>
    <w:qFormat/>
    <w:uiPriority w:val="0"/>
    <w:pPr>
      <w:widowControl/>
      <w:adjustRightInd w:val="0"/>
      <w:snapToGrid w:val="0"/>
      <w:spacing w:line="360" w:lineRule="auto"/>
      <w:jc w:val="center"/>
      <w:textAlignment w:val="baseline"/>
    </w:pPr>
    <w:rPr>
      <w:rFonts w:ascii="Times New Roman" w:hAnsi="Times New Roman" w:eastAsia="黑体" w:cs="Times New Roman"/>
      <w:spacing w:val="20"/>
      <w:kern w:val="0"/>
      <w:sz w:val="44"/>
      <w:szCs w:val="44"/>
      <w:lang w:val="en-US" w:eastAsia="zh-CN" w:bidi="ar-SA"/>
    </w:rPr>
  </w:style>
  <w:style w:type="paragraph" w:customStyle="1" w:styleId="26">
    <w:name w:val="1正文"/>
    <w:qFormat/>
    <w:uiPriority w:val="0"/>
    <w:pPr>
      <w:widowControl w:val="0"/>
      <w:spacing w:line="360" w:lineRule="exact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27">
    <w:name w:val="签署页"/>
    <w:qFormat/>
    <w:uiPriority w:val="0"/>
    <w:pPr>
      <w:widowControl/>
      <w:adjustRightInd w:val="0"/>
      <w:snapToGrid w:val="0"/>
      <w:spacing w:line="480" w:lineRule="auto"/>
      <w:ind w:left="2438" w:hanging="1701"/>
      <w:jc w:val="both"/>
      <w:textAlignment w:val="baseline"/>
    </w:pPr>
    <w:rPr>
      <w:rFonts w:ascii="宋体" w:hAnsi="Times New Roman" w:eastAsia="宋体" w:cs="宋体"/>
      <w:spacing w:val="6"/>
      <w:kern w:val="0"/>
      <w:sz w:val="32"/>
      <w:szCs w:val="32"/>
      <w:lang w:val="en-US" w:eastAsia="zh-CN" w:bidi="ar-SA"/>
    </w:rPr>
  </w:style>
  <w:style w:type="paragraph" w:customStyle="1" w:styleId="28">
    <w:name w:val="目次"/>
    <w:qFormat/>
    <w:uiPriority w:val="0"/>
    <w:pPr>
      <w:widowControl/>
      <w:adjustRightInd w:val="0"/>
      <w:snapToGrid w:val="0"/>
      <w:spacing w:before="600" w:after="800"/>
      <w:jc w:val="center"/>
      <w:textAlignment w:val="baseline"/>
    </w:pPr>
    <w:rPr>
      <w:rFonts w:ascii="黑体" w:hAnsi="Times New Roman" w:eastAsia="黑体" w:cs="Times New Roman"/>
      <w:spacing w:val="100"/>
      <w:kern w:val="0"/>
      <w:sz w:val="30"/>
      <w:szCs w:val="20"/>
      <w:lang w:val="en-US" w:eastAsia="zh-CN" w:bidi="ar-SA"/>
    </w:rPr>
  </w:style>
  <w:style w:type="paragraph" w:customStyle="1" w:styleId="29">
    <w:name w:val="样式4"/>
    <w:qFormat/>
    <w:uiPriority w:val="0"/>
    <w:pPr>
      <w:widowControl w:val="0"/>
      <w:jc w:val="both"/>
    </w:pPr>
    <w:rPr>
      <w:rFonts w:ascii="Times New Roman" w:hAnsi="Times New Roman" w:eastAsia="宋体" w:cs="Times New Roman"/>
      <w:spacing w:val="2"/>
      <w:kern w:val="2"/>
      <w:sz w:val="21"/>
      <w:szCs w:val="20"/>
      <w:lang w:val="en-US" w:eastAsia="zh-CN" w:bidi="ar-SA"/>
    </w:rPr>
  </w:style>
  <w:style w:type="paragraph" w:customStyle="1" w:styleId="30">
    <w:name w:val="Normal"/>
    <w:qFormat/>
    <w:uiPriority w:val="0"/>
    <w:pPr>
      <w:widowControl w:val="0"/>
      <w:adjustRightInd w:val="0"/>
      <w:spacing w:line="0" w:lineRule="atLeast"/>
      <w:textAlignment w:val="baseline"/>
    </w:pPr>
    <w:rPr>
      <w:rFonts w:ascii="宋体" w:hAnsi="Times New Roman" w:eastAsia="宋体" w:cs="Times New Roman"/>
      <w:sz w:val="34"/>
      <w:lang w:val="en-US" w:eastAsia="zh-CN" w:bidi="ar-SA"/>
    </w:rPr>
  </w:style>
  <w:style w:type="paragraph" w:customStyle="1" w:styleId="31">
    <w:name w:val="720正文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32">
    <w:name w:val=" Char"/>
    <w:qFormat/>
    <w:uiPriority w:val="0"/>
    <w:pPr>
      <w:widowControl/>
      <w:spacing w:after="160" w:line="240" w:lineRule="exact"/>
      <w:ind w:left="420"/>
      <w:jc w:val="left"/>
    </w:pPr>
    <w:rPr>
      <w:rFonts w:ascii="Verdana" w:hAnsi="Verdana" w:eastAsia="宋体" w:cs="Times New Roman"/>
      <w:kern w:val="0"/>
      <w:sz w:val="24"/>
      <w:szCs w:val="20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87</Pages>
  <Words>2721</Words>
  <Characters>3482</Characters>
  <Lines>0</Lines>
  <Paragraphs>0</Paragraphs>
  <TotalTime>0</TotalTime>
  <ScaleCrop>false</ScaleCrop>
  <LinksUpToDate>false</LinksUpToDate>
  <CharactersWithSpaces>3551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2026-07-22T10:23:00Z</dcterms:created>
  <dc:creator>华中科技大学</dc:creator>
  <dc:description>V4.6：按91bcc41统一A1—A4指标、数据集组和物理资产矩阵</dc:description>
  <cp:keywords>vLLM-HUST;测试方案;A1-A4;B0-B1;910B2</cp:keywords>
  <cp:lastModifiedBy>张书豪</cp:lastModifiedBy>
  <dcterms:modified xsi:type="dcterms:W3CDTF">2026-10-09T08:07:32Z</dcterms:modified>
  <dc:subject>浦江指定五项数据集官方源快照冻结记录与35B B0/B1验收测试方案</dc:subject>
  <dc:title>vLLM-HUST标准交付测试方案 V5.4</dc:title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64F0C136E9C2DE86DCEEA06A4EB25ED4_43</vt:lpwstr>
  </property>
  <property fmtid="{D5CDD505-2E9C-101B-9397-08002B2CF9AE}" pid="4" name="KSOTemplateDocerSaveRecord">
    <vt:lpwstr>eyJoZGlkIjoiMmU4ZjBkNDFlNGE5Y2Q4MDZkNGNmODNjMGFmZjJhNTgiLCJ1c2VySWQiOiIxNzg5NTQzNjg4In0=</vt:lpwstr>
  </property>
</Properties>
</file>