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321E" w14:textId="77777777" w:rsidR="00FE54A7" w:rsidRDefault="00FE54A7">
      <w:pPr>
        <w:spacing w:before="2000"/>
      </w:pPr>
    </w:p>
    <w:p w14:paraId="2D4D7FBE" w14:textId="403BAD74" w:rsidR="00FE54A7" w:rsidRDefault="0090311C">
      <w:pPr>
        <w:spacing w:after="100"/>
        <w:jc w:val="center"/>
      </w:pPr>
      <w:r>
        <w:rPr>
          <w:b/>
          <w:bCs/>
          <w:color w:val="2563EB"/>
          <w:sz w:val="72"/>
          <w:szCs w:val="72"/>
        </w:rPr>
        <w:t>SANGAM</w:t>
      </w:r>
    </w:p>
    <w:p w14:paraId="112A6EF9" w14:textId="77777777" w:rsidR="00FE54A7" w:rsidRDefault="00000000">
      <w:pPr>
        <w:spacing w:after="400"/>
        <w:jc w:val="center"/>
      </w:pPr>
      <w:r>
        <w:rPr>
          <w:i/>
          <w:iCs/>
          <w:color w:val="6B7280"/>
          <w:sz w:val="22"/>
          <w:szCs w:val="22"/>
        </w:rPr>
        <w:t>(working title)</w:t>
      </w:r>
    </w:p>
    <w:p w14:paraId="23EFFCDB" w14:textId="77777777" w:rsidR="00FE54A7" w:rsidRDefault="00000000">
      <w:pPr>
        <w:spacing w:after="100"/>
        <w:jc w:val="center"/>
      </w:pPr>
      <w:r>
        <w:rPr>
          <w:b/>
          <w:bCs/>
          <w:color w:val="1F2937"/>
          <w:sz w:val="32"/>
          <w:szCs w:val="32"/>
        </w:rPr>
        <w:t>MVP Definition, Onboarding Flow &amp; Psychology-Driven Design System</w:t>
      </w:r>
    </w:p>
    <w:p w14:paraId="48C43274" w14:textId="77777777" w:rsidR="00FE54A7" w:rsidRDefault="00000000">
      <w:pPr>
        <w:spacing w:after="800"/>
        <w:jc w:val="center"/>
      </w:pPr>
      <w:r>
        <w:rPr>
          <w:color w:val="6B7280"/>
          <w:sz w:val="24"/>
          <w:szCs w:val="24"/>
        </w:rPr>
        <w:t>Designing for the aging brain, eye, and hand — with the research behind every choice</w:t>
      </w:r>
    </w:p>
    <w:p w14:paraId="29D05E44" w14:textId="77777777" w:rsidR="00FE54A7" w:rsidRDefault="00000000">
      <w:pPr>
        <w:jc w:val="center"/>
      </w:pPr>
      <w:r>
        <w:rPr>
          <w:color w:val="6B7280"/>
          <w:sz w:val="20"/>
          <w:szCs w:val="20"/>
        </w:rPr>
        <w:t>September 2026</w:t>
      </w:r>
    </w:p>
    <w:p w14:paraId="39BD0D2D" w14:textId="77777777" w:rsidR="00FE54A7" w:rsidRDefault="00000000">
      <w:r>
        <w:br w:type="page"/>
      </w:r>
    </w:p>
    <w:p w14:paraId="24AF5336" w14:textId="77777777" w:rsidR="00FE54A7" w:rsidRDefault="00000000">
      <w:pPr>
        <w:pStyle w:val="Heading1"/>
        <w:spacing w:before="400" w:after="200"/>
      </w:pPr>
      <w:bookmarkStart w:id="0" w:name="_Toc239590541"/>
      <w:r>
        <w:lastRenderedPageBreak/>
        <w:t>Table of Contents</w:t>
      </w:r>
      <w:bookmarkEnd w:id="0"/>
    </w:p>
    <w:sdt>
      <w:sdtPr>
        <w:alias w:val="Table of Contents"/>
        <w:id w:val="1256018380"/>
      </w:sdtPr>
      <w:sdtContent>
        <w:p w14:paraId="75180C9D" w14:textId="77777777" w:rsidR="0090311C" w:rsidRDefault="00000000">
          <w:pPr>
            <w:pStyle w:val="TOC1"/>
            <w:tabs>
              <w:tab w:val="right" w:leader="dot" w:pos="10070"/>
            </w:tabs>
            <w:rPr>
              <w:noProof/>
            </w:rPr>
          </w:pPr>
          <w:r>
            <w:fldChar w:fldCharType="begin"/>
          </w:r>
          <w:r>
            <w:instrText>TOC \h \o "1-2"</w:instrText>
          </w:r>
          <w:r>
            <w:fldChar w:fldCharType="separate"/>
          </w:r>
          <w:hyperlink w:anchor="_Toc239590541" w:history="1">
            <w:r w:rsidR="0090311C" w:rsidRPr="00CD3C2B">
              <w:rPr>
                <w:rStyle w:val="Hyperlink"/>
                <w:noProof/>
              </w:rPr>
              <w:t>Table of Contents</w:t>
            </w:r>
            <w:r w:rsidR="0090311C">
              <w:rPr>
                <w:noProof/>
              </w:rPr>
              <w:tab/>
            </w:r>
            <w:r w:rsidR="0090311C">
              <w:rPr>
                <w:noProof/>
              </w:rPr>
              <w:fldChar w:fldCharType="begin"/>
            </w:r>
            <w:r w:rsidR="0090311C">
              <w:rPr>
                <w:noProof/>
              </w:rPr>
              <w:instrText xml:space="preserve"> PAGEREF _Toc239590541 \h </w:instrText>
            </w:r>
            <w:r w:rsidR="0090311C">
              <w:rPr>
                <w:noProof/>
              </w:rPr>
            </w:r>
            <w:r w:rsidR="0090311C">
              <w:rPr>
                <w:noProof/>
              </w:rPr>
              <w:fldChar w:fldCharType="separate"/>
            </w:r>
            <w:r w:rsidR="0090311C">
              <w:rPr>
                <w:noProof/>
              </w:rPr>
              <w:t>2</w:t>
            </w:r>
            <w:r w:rsidR="0090311C">
              <w:rPr>
                <w:noProof/>
              </w:rPr>
              <w:fldChar w:fldCharType="end"/>
            </w:r>
          </w:hyperlink>
        </w:p>
        <w:p w14:paraId="36A8E69C" w14:textId="77777777" w:rsidR="0090311C" w:rsidRDefault="0090311C">
          <w:pPr>
            <w:pStyle w:val="TOC1"/>
            <w:tabs>
              <w:tab w:val="right" w:leader="dot" w:pos="10070"/>
            </w:tabs>
            <w:rPr>
              <w:noProof/>
            </w:rPr>
          </w:pPr>
          <w:hyperlink w:anchor="_Toc239590542" w:history="1">
            <w:r w:rsidRPr="00CD3C2B">
              <w:rPr>
                <w:rStyle w:val="Hyperlink"/>
                <w:noProof/>
              </w:rPr>
              <w:t>1. Executive Summary</w:t>
            </w:r>
            <w:r>
              <w:rPr>
                <w:noProof/>
              </w:rPr>
              <w:tab/>
            </w:r>
            <w:r>
              <w:rPr>
                <w:noProof/>
              </w:rPr>
              <w:fldChar w:fldCharType="begin"/>
            </w:r>
            <w:r>
              <w:rPr>
                <w:noProof/>
              </w:rPr>
              <w:instrText xml:space="preserve"> PAGEREF _Toc239590542 \h </w:instrText>
            </w:r>
            <w:r>
              <w:rPr>
                <w:noProof/>
              </w:rPr>
            </w:r>
            <w:r>
              <w:rPr>
                <w:noProof/>
              </w:rPr>
              <w:fldChar w:fldCharType="separate"/>
            </w:r>
            <w:r>
              <w:rPr>
                <w:noProof/>
              </w:rPr>
              <w:t>3</w:t>
            </w:r>
            <w:r>
              <w:rPr>
                <w:noProof/>
              </w:rPr>
              <w:fldChar w:fldCharType="end"/>
            </w:r>
          </w:hyperlink>
        </w:p>
        <w:p w14:paraId="08A3C704" w14:textId="77777777" w:rsidR="0090311C" w:rsidRDefault="0090311C">
          <w:pPr>
            <w:pStyle w:val="TOC1"/>
            <w:tabs>
              <w:tab w:val="right" w:leader="dot" w:pos="10070"/>
            </w:tabs>
            <w:rPr>
              <w:noProof/>
            </w:rPr>
          </w:pPr>
          <w:hyperlink w:anchor="_Toc239590543" w:history="1">
            <w:r w:rsidRPr="00CD3C2B">
              <w:rPr>
                <w:rStyle w:val="Hyperlink"/>
                <w:noProof/>
              </w:rPr>
              <w:t>2. MVP Scope</w:t>
            </w:r>
            <w:r>
              <w:rPr>
                <w:noProof/>
              </w:rPr>
              <w:tab/>
            </w:r>
            <w:r>
              <w:rPr>
                <w:noProof/>
              </w:rPr>
              <w:fldChar w:fldCharType="begin"/>
            </w:r>
            <w:r>
              <w:rPr>
                <w:noProof/>
              </w:rPr>
              <w:instrText xml:space="preserve"> PAGEREF _Toc239590543 \h </w:instrText>
            </w:r>
            <w:r>
              <w:rPr>
                <w:noProof/>
              </w:rPr>
            </w:r>
            <w:r>
              <w:rPr>
                <w:noProof/>
              </w:rPr>
              <w:fldChar w:fldCharType="separate"/>
            </w:r>
            <w:r>
              <w:rPr>
                <w:noProof/>
              </w:rPr>
              <w:t>3</w:t>
            </w:r>
            <w:r>
              <w:rPr>
                <w:noProof/>
              </w:rPr>
              <w:fldChar w:fldCharType="end"/>
            </w:r>
          </w:hyperlink>
        </w:p>
        <w:p w14:paraId="0E169DDA" w14:textId="77777777" w:rsidR="0090311C" w:rsidRDefault="0090311C">
          <w:pPr>
            <w:pStyle w:val="TOC2"/>
            <w:tabs>
              <w:tab w:val="right" w:leader="dot" w:pos="10070"/>
            </w:tabs>
            <w:rPr>
              <w:noProof/>
            </w:rPr>
          </w:pPr>
          <w:hyperlink w:anchor="_Toc239590544" w:history="1">
            <w:r w:rsidRPr="00CD3C2B">
              <w:rPr>
                <w:rStyle w:val="Hyperlink"/>
                <w:noProof/>
              </w:rPr>
              <w:t>2.1 MVP — In Scope</w:t>
            </w:r>
            <w:r>
              <w:rPr>
                <w:noProof/>
              </w:rPr>
              <w:tab/>
            </w:r>
            <w:r>
              <w:rPr>
                <w:noProof/>
              </w:rPr>
              <w:fldChar w:fldCharType="begin"/>
            </w:r>
            <w:r>
              <w:rPr>
                <w:noProof/>
              </w:rPr>
              <w:instrText xml:space="preserve"> PAGEREF _Toc239590544 \h </w:instrText>
            </w:r>
            <w:r>
              <w:rPr>
                <w:noProof/>
              </w:rPr>
            </w:r>
            <w:r>
              <w:rPr>
                <w:noProof/>
              </w:rPr>
              <w:fldChar w:fldCharType="separate"/>
            </w:r>
            <w:r>
              <w:rPr>
                <w:noProof/>
              </w:rPr>
              <w:t>3</w:t>
            </w:r>
            <w:r>
              <w:rPr>
                <w:noProof/>
              </w:rPr>
              <w:fldChar w:fldCharType="end"/>
            </w:r>
          </w:hyperlink>
        </w:p>
        <w:p w14:paraId="14B26CEB" w14:textId="77777777" w:rsidR="0090311C" w:rsidRDefault="0090311C">
          <w:pPr>
            <w:pStyle w:val="TOC2"/>
            <w:tabs>
              <w:tab w:val="right" w:leader="dot" w:pos="10070"/>
            </w:tabs>
            <w:rPr>
              <w:noProof/>
            </w:rPr>
          </w:pPr>
          <w:hyperlink w:anchor="_Toc239590545" w:history="1">
            <w:r w:rsidRPr="00CD3C2B">
              <w:rPr>
                <w:rStyle w:val="Hyperlink"/>
                <w:noProof/>
              </w:rPr>
              <w:t>2.2 Explicitly Out of Scope for MVP (Phase 2+)</w:t>
            </w:r>
            <w:r>
              <w:rPr>
                <w:noProof/>
              </w:rPr>
              <w:tab/>
            </w:r>
            <w:r>
              <w:rPr>
                <w:noProof/>
              </w:rPr>
              <w:fldChar w:fldCharType="begin"/>
            </w:r>
            <w:r>
              <w:rPr>
                <w:noProof/>
              </w:rPr>
              <w:instrText xml:space="preserve"> PAGEREF _Toc239590545 \h </w:instrText>
            </w:r>
            <w:r>
              <w:rPr>
                <w:noProof/>
              </w:rPr>
            </w:r>
            <w:r>
              <w:rPr>
                <w:noProof/>
              </w:rPr>
              <w:fldChar w:fldCharType="separate"/>
            </w:r>
            <w:r>
              <w:rPr>
                <w:noProof/>
              </w:rPr>
              <w:t>3</w:t>
            </w:r>
            <w:r>
              <w:rPr>
                <w:noProof/>
              </w:rPr>
              <w:fldChar w:fldCharType="end"/>
            </w:r>
          </w:hyperlink>
        </w:p>
        <w:p w14:paraId="1C093A1B" w14:textId="77777777" w:rsidR="0090311C" w:rsidRDefault="0090311C">
          <w:pPr>
            <w:pStyle w:val="TOC1"/>
            <w:tabs>
              <w:tab w:val="right" w:leader="dot" w:pos="10070"/>
            </w:tabs>
            <w:rPr>
              <w:noProof/>
            </w:rPr>
          </w:pPr>
          <w:hyperlink w:anchor="_Toc239590546" w:history="1">
            <w:r w:rsidRPr="00CD3C2B">
              <w:rPr>
                <w:rStyle w:val="Hyperlink"/>
                <w:noProof/>
              </w:rPr>
              <w:t>3. Account Setup &amp; Onboarding</w:t>
            </w:r>
            <w:r>
              <w:rPr>
                <w:noProof/>
              </w:rPr>
              <w:tab/>
            </w:r>
            <w:r>
              <w:rPr>
                <w:noProof/>
              </w:rPr>
              <w:fldChar w:fldCharType="begin"/>
            </w:r>
            <w:r>
              <w:rPr>
                <w:noProof/>
              </w:rPr>
              <w:instrText xml:space="preserve"> PAGEREF _Toc239590546 \h </w:instrText>
            </w:r>
            <w:r>
              <w:rPr>
                <w:noProof/>
              </w:rPr>
            </w:r>
            <w:r>
              <w:rPr>
                <w:noProof/>
              </w:rPr>
              <w:fldChar w:fldCharType="separate"/>
            </w:r>
            <w:r>
              <w:rPr>
                <w:noProof/>
              </w:rPr>
              <w:t>4</w:t>
            </w:r>
            <w:r>
              <w:rPr>
                <w:noProof/>
              </w:rPr>
              <w:fldChar w:fldCharType="end"/>
            </w:r>
          </w:hyperlink>
        </w:p>
        <w:p w14:paraId="2906E345" w14:textId="77777777" w:rsidR="0090311C" w:rsidRDefault="0090311C">
          <w:pPr>
            <w:pStyle w:val="TOC2"/>
            <w:tabs>
              <w:tab w:val="right" w:leader="dot" w:pos="10070"/>
            </w:tabs>
            <w:rPr>
              <w:noProof/>
            </w:rPr>
          </w:pPr>
          <w:hyperlink w:anchor="_Toc239590547" w:history="1">
            <w:r w:rsidRPr="00CD3C2B">
              <w:rPr>
                <w:rStyle w:val="Hyperlink"/>
                <w:noProof/>
              </w:rPr>
              <w:t>3.1 Primary Path — Caregiver-Led Setup</w:t>
            </w:r>
            <w:r>
              <w:rPr>
                <w:noProof/>
              </w:rPr>
              <w:tab/>
            </w:r>
            <w:r>
              <w:rPr>
                <w:noProof/>
              </w:rPr>
              <w:fldChar w:fldCharType="begin"/>
            </w:r>
            <w:r>
              <w:rPr>
                <w:noProof/>
              </w:rPr>
              <w:instrText xml:space="preserve"> PAGEREF _Toc239590547 \h </w:instrText>
            </w:r>
            <w:r>
              <w:rPr>
                <w:noProof/>
              </w:rPr>
            </w:r>
            <w:r>
              <w:rPr>
                <w:noProof/>
              </w:rPr>
              <w:fldChar w:fldCharType="separate"/>
            </w:r>
            <w:r>
              <w:rPr>
                <w:noProof/>
              </w:rPr>
              <w:t>4</w:t>
            </w:r>
            <w:r>
              <w:rPr>
                <w:noProof/>
              </w:rPr>
              <w:fldChar w:fldCharType="end"/>
            </w:r>
          </w:hyperlink>
        </w:p>
        <w:p w14:paraId="08499028" w14:textId="77777777" w:rsidR="0090311C" w:rsidRDefault="0090311C">
          <w:pPr>
            <w:pStyle w:val="TOC2"/>
            <w:tabs>
              <w:tab w:val="right" w:leader="dot" w:pos="10070"/>
            </w:tabs>
            <w:rPr>
              <w:noProof/>
            </w:rPr>
          </w:pPr>
          <w:hyperlink w:anchor="_Toc239590548" w:history="1">
            <w:r w:rsidRPr="00CD3C2B">
              <w:rPr>
                <w:rStyle w:val="Hyperlink"/>
                <w:noProof/>
              </w:rPr>
              <w:t>3.2 Secondary Path — Senior-Led Setup</w:t>
            </w:r>
            <w:r>
              <w:rPr>
                <w:noProof/>
              </w:rPr>
              <w:tab/>
            </w:r>
            <w:r>
              <w:rPr>
                <w:noProof/>
              </w:rPr>
              <w:fldChar w:fldCharType="begin"/>
            </w:r>
            <w:r>
              <w:rPr>
                <w:noProof/>
              </w:rPr>
              <w:instrText xml:space="preserve"> PAGEREF _Toc239590548 \h </w:instrText>
            </w:r>
            <w:r>
              <w:rPr>
                <w:noProof/>
              </w:rPr>
            </w:r>
            <w:r>
              <w:rPr>
                <w:noProof/>
              </w:rPr>
              <w:fldChar w:fldCharType="separate"/>
            </w:r>
            <w:r>
              <w:rPr>
                <w:noProof/>
              </w:rPr>
              <w:t>4</w:t>
            </w:r>
            <w:r>
              <w:rPr>
                <w:noProof/>
              </w:rPr>
              <w:fldChar w:fldCharType="end"/>
            </w:r>
          </w:hyperlink>
        </w:p>
        <w:p w14:paraId="092C09F4" w14:textId="77777777" w:rsidR="0090311C" w:rsidRDefault="0090311C">
          <w:pPr>
            <w:pStyle w:val="TOC2"/>
            <w:tabs>
              <w:tab w:val="right" w:leader="dot" w:pos="10070"/>
            </w:tabs>
            <w:rPr>
              <w:noProof/>
            </w:rPr>
          </w:pPr>
          <w:hyperlink w:anchor="_Toc239590549" w:history="1">
            <w:r w:rsidRPr="00CD3C2B">
              <w:rPr>
                <w:rStyle w:val="Hyperlink"/>
                <w:noProof/>
              </w:rPr>
              <w:t>3.3 The Senior's First-Run Screens (Design Rationale)</w:t>
            </w:r>
            <w:r>
              <w:rPr>
                <w:noProof/>
              </w:rPr>
              <w:tab/>
            </w:r>
            <w:r>
              <w:rPr>
                <w:noProof/>
              </w:rPr>
              <w:fldChar w:fldCharType="begin"/>
            </w:r>
            <w:r>
              <w:rPr>
                <w:noProof/>
              </w:rPr>
              <w:instrText xml:space="preserve"> PAGEREF _Toc239590549 \h </w:instrText>
            </w:r>
            <w:r>
              <w:rPr>
                <w:noProof/>
              </w:rPr>
            </w:r>
            <w:r>
              <w:rPr>
                <w:noProof/>
              </w:rPr>
              <w:fldChar w:fldCharType="separate"/>
            </w:r>
            <w:r>
              <w:rPr>
                <w:noProof/>
              </w:rPr>
              <w:t>4</w:t>
            </w:r>
            <w:r>
              <w:rPr>
                <w:noProof/>
              </w:rPr>
              <w:fldChar w:fldCharType="end"/>
            </w:r>
          </w:hyperlink>
        </w:p>
        <w:p w14:paraId="79868AB0" w14:textId="77777777" w:rsidR="0090311C" w:rsidRDefault="0090311C">
          <w:pPr>
            <w:pStyle w:val="TOC2"/>
            <w:tabs>
              <w:tab w:val="right" w:leader="dot" w:pos="10070"/>
            </w:tabs>
            <w:rPr>
              <w:noProof/>
            </w:rPr>
          </w:pPr>
          <w:hyperlink w:anchor="_Toc239590550" w:history="1">
            <w:r w:rsidRPr="00CD3C2B">
              <w:rPr>
                <w:rStyle w:val="Hyperlink"/>
                <w:noProof/>
              </w:rPr>
              <w:t>3.4 Linking &amp; Ongoing Permissions</w:t>
            </w:r>
            <w:r>
              <w:rPr>
                <w:noProof/>
              </w:rPr>
              <w:tab/>
            </w:r>
            <w:r>
              <w:rPr>
                <w:noProof/>
              </w:rPr>
              <w:fldChar w:fldCharType="begin"/>
            </w:r>
            <w:r>
              <w:rPr>
                <w:noProof/>
              </w:rPr>
              <w:instrText xml:space="preserve"> PAGEREF _Toc239590550 \h </w:instrText>
            </w:r>
            <w:r>
              <w:rPr>
                <w:noProof/>
              </w:rPr>
            </w:r>
            <w:r>
              <w:rPr>
                <w:noProof/>
              </w:rPr>
              <w:fldChar w:fldCharType="separate"/>
            </w:r>
            <w:r>
              <w:rPr>
                <w:noProof/>
              </w:rPr>
              <w:t>4</w:t>
            </w:r>
            <w:r>
              <w:rPr>
                <w:noProof/>
              </w:rPr>
              <w:fldChar w:fldCharType="end"/>
            </w:r>
          </w:hyperlink>
        </w:p>
        <w:p w14:paraId="398372DB" w14:textId="77777777" w:rsidR="0090311C" w:rsidRDefault="0090311C">
          <w:pPr>
            <w:pStyle w:val="TOC1"/>
            <w:tabs>
              <w:tab w:val="right" w:leader="dot" w:pos="10070"/>
            </w:tabs>
            <w:rPr>
              <w:noProof/>
            </w:rPr>
          </w:pPr>
          <w:hyperlink w:anchor="_Toc239590551" w:history="1">
            <w:r w:rsidRPr="00CD3C2B">
              <w:rPr>
                <w:rStyle w:val="Hyperlink"/>
                <w:noProof/>
              </w:rPr>
              <w:t>4. The Psychology and Physiology of Aging — What We Are Designing For</w:t>
            </w:r>
            <w:r>
              <w:rPr>
                <w:noProof/>
              </w:rPr>
              <w:tab/>
            </w:r>
            <w:r>
              <w:rPr>
                <w:noProof/>
              </w:rPr>
              <w:fldChar w:fldCharType="begin"/>
            </w:r>
            <w:r>
              <w:rPr>
                <w:noProof/>
              </w:rPr>
              <w:instrText xml:space="preserve"> PAGEREF _Toc239590551 \h </w:instrText>
            </w:r>
            <w:r>
              <w:rPr>
                <w:noProof/>
              </w:rPr>
            </w:r>
            <w:r>
              <w:rPr>
                <w:noProof/>
              </w:rPr>
              <w:fldChar w:fldCharType="separate"/>
            </w:r>
            <w:r>
              <w:rPr>
                <w:noProof/>
              </w:rPr>
              <w:t>5</w:t>
            </w:r>
            <w:r>
              <w:rPr>
                <w:noProof/>
              </w:rPr>
              <w:fldChar w:fldCharType="end"/>
            </w:r>
          </w:hyperlink>
        </w:p>
        <w:p w14:paraId="02DA0B36" w14:textId="77777777" w:rsidR="0090311C" w:rsidRDefault="0090311C">
          <w:pPr>
            <w:pStyle w:val="TOC2"/>
            <w:tabs>
              <w:tab w:val="right" w:leader="dot" w:pos="10070"/>
            </w:tabs>
            <w:rPr>
              <w:noProof/>
            </w:rPr>
          </w:pPr>
          <w:hyperlink w:anchor="_Toc239590552" w:history="1">
            <w:r w:rsidRPr="00CD3C2B">
              <w:rPr>
                <w:rStyle w:val="Hyperlink"/>
                <w:noProof/>
              </w:rPr>
              <w:t>4.1 Vision Changes</w:t>
            </w:r>
            <w:r>
              <w:rPr>
                <w:noProof/>
              </w:rPr>
              <w:tab/>
            </w:r>
            <w:r>
              <w:rPr>
                <w:noProof/>
              </w:rPr>
              <w:fldChar w:fldCharType="begin"/>
            </w:r>
            <w:r>
              <w:rPr>
                <w:noProof/>
              </w:rPr>
              <w:instrText xml:space="preserve"> PAGEREF _Toc239590552 \h </w:instrText>
            </w:r>
            <w:r>
              <w:rPr>
                <w:noProof/>
              </w:rPr>
            </w:r>
            <w:r>
              <w:rPr>
                <w:noProof/>
              </w:rPr>
              <w:fldChar w:fldCharType="separate"/>
            </w:r>
            <w:r>
              <w:rPr>
                <w:noProof/>
              </w:rPr>
              <w:t>5</w:t>
            </w:r>
            <w:r>
              <w:rPr>
                <w:noProof/>
              </w:rPr>
              <w:fldChar w:fldCharType="end"/>
            </w:r>
          </w:hyperlink>
        </w:p>
        <w:p w14:paraId="01ECCD52" w14:textId="77777777" w:rsidR="0090311C" w:rsidRDefault="0090311C">
          <w:pPr>
            <w:pStyle w:val="TOC2"/>
            <w:tabs>
              <w:tab w:val="right" w:leader="dot" w:pos="10070"/>
            </w:tabs>
            <w:rPr>
              <w:noProof/>
            </w:rPr>
          </w:pPr>
          <w:hyperlink w:anchor="_Toc239590553" w:history="1">
            <w:r w:rsidRPr="00CD3C2B">
              <w:rPr>
                <w:rStyle w:val="Hyperlink"/>
                <w:noProof/>
              </w:rPr>
              <w:t>4.2 Cognitive Changes</w:t>
            </w:r>
            <w:r>
              <w:rPr>
                <w:noProof/>
              </w:rPr>
              <w:tab/>
            </w:r>
            <w:r>
              <w:rPr>
                <w:noProof/>
              </w:rPr>
              <w:fldChar w:fldCharType="begin"/>
            </w:r>
            <w:r>
              <w:rPr>
                <w:noProof/>
              </w:rPr>
              <w:instrText xml:space="preserve"> PAGEREF _Toc239590553 \h </w:instrText>
            </w:r>
            <w:r>
              <w:rPr>
                <w:noProof/>
              </w:rPr>
            </w:r>
            <w:r>
              <w:rPr>
                <w:noProof/>
              </w:rPr>
              <w:fldChar w:fldCharType="separate"/>
            </w:r>
            <w:r>
              <w:rPr>
                <w:noProof/>
              </w:rPr>
              <w:t>5</w:t>
            </w:r>
            <w:r>
              <w:rPr>
                <w:noProof/>
              </w:rPr>
              <w:fldChar w:fldCharType="end"/>
            </w:r>
          </w:hyperlink>
        </w:p>
        <w:p w14:paraId="748D66D4" w14:textId="77777777" w:rsidR="0090311C" w:rsidRDefault="0090311C">
          <w:pPr>
            <w:pStyle w:val="TOC2"/>
            <w:tabs>
              <w:tab w:val="right" w:leader="dot" w:pos="10070"/>
            </w:tabs>
            <w:rPr>
              <w:noProof/>
            </w:rPr>
          </w:pPr>
          <w:hyperlink w:anchor="_Toc239590554" w:history="1">
            <w:r w:rsidRPr="00CD3C2B">
              <w:rPr>
                <w:rStyle w:val="Hyperlink"/>
                <w:noProof/>
              </w:rPr>
              <w:t>4.3 Motor &amp; Dexterity Changes</w:t>
            </w:r>
            <w:r>
              <w:rPr>
                <w:noProof/>
              </w:rPr>
              <w:tab/>
            </w:r>
            <w:r>
              <w:rPr>
                <w:noProof/>
              </w:rPr>
              <w:fldChar w:fldCharType="begin"/>
            </w:r>
            <w:r>
              <w:rPr>
                <w:noProof/>
              </w:rPr>
              <w:instrText xml:space="preserve"> PAGEREF _Toc239590554 \h </w:instrText>
            </w:r>
            <w:r>
              <w:rPr>
                <w:noProof/>
              </w:rPr>
            </w:r>
            <w:r>
              <w:rPr>
                <w:noProof/>
              </w:rPr>
              <w:fldChar w:fldCharType="separate"/>
            </w:r>
            <w:r>
              <w:rPr>
                <w:noProof/>
              </w:rPr>
              <w:t>6</w:t>
            </w:r>
            <w:r>
              <w:rPr>
                <w:noProof/>
              </w:rPr>
              <w:fldChar w:fldCharType="end"/>
            </w:r>
          </w:hyperlink>
        </w:p>
        <w:p w14:paraId="6FAED203" w14:textId="77777777" w:rsidR="0090311C" w:rsidRDefault="0090311C">
          <w:pPr>
            <w:pStyle w:val="TOC2"/>
            <w:tabs>
              <w:tab w:val="right" w:leader="dot" w:pos="10070"/>
            </w:tabs>
            <w:rPr>
              <w:noProof/>
            </w:rPr>
          </w:pPr>
          <w:hyperlink w:anchor="_Toc239590555" w:history="1">
            <w:r w:rsidRPr="00CD3C2B">
              <w:rPr>
                <w:rStyle w:val="Hyperlink"/>
                <w:noProof/>
              </w:rPr>
              <w:t>4.4 The Emotional Barrier: Technology Anxiety, Self-Efficacy, and Fear of Mistakes</w:t>
            </w:r>
            <w:r>
              <w:rPr>
                <w:noProof/>
              </w:rPr>
              <w:tab/>
            </w:r>
            <w:r>
              <w:rPr>
                <w:noProof/>
              </w:rPr>
              <w:fldChar w:fldCharType="begin"/>
            </w:r>
            <w:r>
              <w:rPr>
                <w:noProof/>
              </w:rPr>
              <w:instrText xml:space="preserve"> PAGEREF _Toc239590555 \h </w:instrText>
            </w:r>
            <w:r>
              <w:rPr>
                <w:noProof/>
              </w:rPr>
            </w:r>
            <w:r>
              <w:rPr>
                <w:noProof/>
              </w:rPr>
              <w:fldChar w:fldCharType="separate"/>
            </w:r>
            <w:r>
              <w:rPr>
                <w:noProof/>
              </w:rPr>
              <w:t>6</w:t>
            </w:r>
            <w:r>
              <w:rPr>
                <w:noProof/>
              </w:rPr>
              <w:fldChar w:fldCharType="end"/>
            </w:r>
          </w:hyperlink>
        </w:p>
        <w:p w14:paraId="20BBB128" w14:textId="77777777" w:rsidR="0090311C" w:rsidRDefault="0090311C">
          <w:pPr>
            <w:pStyle w:val="TOC2"/>
            <w:tabs>
              <w:tab w:val="right" w:leader="dot" w:pos="10070"/>
            </w:tabs>
            <w:rPr>
              <w:noProof/>
            </w:rPr>
          </w:pPr>
          <w:hyperlink w:anchor="_Toc239590556" w:history="1">
            <w:r w:rsidRPr="00CD3C2B">
              <w:rPr>
                <w:rStyle w:val="Hyperlink"/>
                <w:noProof/>
              </w:rPr>
              <w:t>4.5 Social Learning and Trust</w:t>
            </w:r>
            <w:r>
              <w:rPr>
                <w:noProof/>
              </w:rPr>
              <w:tab/>
            </w:r>
            <w:r>
              <w:rPr>
                <w:noProof/>
              </w:rPr>
              <w:fldChar w:fldCharType="begin"/>
            </w:r>
            <w:r>
              <w:rPr>
                <w:noProof/>
              </w:rPr>
              <w:instrText xml:space="preserve"> PAGEREF _Toc239590556 \h </w:instrText>
            </w:r>
            <w:r>
              <w:rPr>
                <w:noProof/>
              </w:rPr>
            </w:r>
            <w:r>
              <w:rPr>
                <w:noProof/>
              </w:rPr>
              <w:fldChar w:fldCharType="separate"/>
            </w:r>
            <w:r>
              <w:rPr>
                <w:noProof/>
              </w:rPr>
              <w:t>6</w:t>
            </w:r>
            <w:r>
              <w:rPr>
                <w:noProof/>
              </w:rPr>
              <w:fldChar w:fldCharType="end"/>
            </w:r>
          </w:hyperlink>
        </w:p>
        <w:p w14:paraId="5B880CF1" w14:textId="77777777" w:rsidR="0090311C" w:rsidRDefault="0090311C">
          <w:pPr>
            <w:pStyle w:val="TOC1"/>
            <w:tabs>
              <w:tab w:val="right" w:leader="dot" w:pos="10070"/>
            </w:tabs>
            <w:rPr>
              <w:noProof/>
            </w:rPr>
          </w:pPr>
          <w:hyperlink w:anchor="_Toc239590557" w:history="1">
            <w:r w:rsidRPr="00CD3C2B">
              <w:rPr>
                <w:rStyle w:val="Hyperlink"/>
                <w:noProof/>
              </w:rPr>
              <w:t>5. Design System — Senior-Facing Interface</w:t>
            </w:r>
            <w:r>
              <w:rPr>
                <w:noProof/>
              </w:rPr>
              <w:tab/>
            </w:r>
            <w:r>
              <w:rPr>
                <w:noProof/>
              </w:rPr>
              <w:fldChar w:fldCharType="begin"/>
            </w:r>
            <w:r>
              <w:rPr>
                <w:noProof/>
              </w:rPr>
              <w:instrText xml:space="preserve"> PAGEREF _Toc239590557 \h </w:instrText>
            </w:r>
            <w:r>
              <w:rPr>
                <w:noProof/>
              </w:rPr>
            </w:r>
            <w:r>
              <w:rPr>
                <w:noProof/>
              </w:rPr>
              <w:fldChar w:fldCharType="separate"/>
            </w:r>
            <w:r>
              <w:rPr>
                <w:noProof/>
              </w:rPr>
              <w:t>7</w:t>
            </w:r>
            <w:r>
              <w:rPr>
                <w:noProof/>
              </w:rPr>
              <w:fldChar w:fldCharType="end"/>
            </w:r>
          </w:hyperlink>
        </w:p>
        <w:p w14:paraId="0D656959" w14:textId="77777777" w:rsidR="0090311C" w:rsidRDefault="0090311C">
          <w:pPr>
            <w:pStyle w:val="TOC2"/>
            <w:tabs>
              <w:tab w:val="right" w:leader="dot" w:pos="10070"/>
            </w:tabs>
            <w:rPr>
              <w:noProof/>
            </w:rPr>
          </w:pPr>
          <w:hyperlink w:anchor="_Toc239590558" w:history="1">
            <w:r w:rsidRPr="00CD3C2B">
              <w:rPr>
                <w:rStyle w:val="Hyperlink"/>
                <w:noProof/>
              </w:rPr>
              <w:t>5.1 Typography</w:t>
            </w:r>
            <w:r>
              <w:rPr>
                <w:noProof/>
              </w:rPr>
              <w:tab/>
            </w:r>
            <w:r>
              <w:rPr>
                <w:noProof/>
              </w:rPr>
              <w:fldChar w:fldCharType="begin"/>
            </w:r>
            <w:r>
              <w:rPr>
                <w:noProof/>
              </w:rPr>
              <w:instrText xml:space="preserve"> PAGEREF _Toc239590558 \h </w:instrText>
            </w:r>
            <w:r>
              <w:rPr>
                <w:noProof/>
              </w:rPr>
            </w:r>
            <w:r>
              <w:rPr>
                <w:noProof/>
              </w:rPr>
              <w:fldChar w:fldCharType="separate"/>
            </w:r>
            <w:r>
              <w:rPr>
                <w:noProof/>
              </w:rPr>
              <w:t>7</w:t>
            </w:r>
            <w:r>
              <w:rPr>
                <w:noProof/>
              </w:rPr>
              <w:fldChar w:fldCharType="end"/>
            </w:r>
          </w:hyperlink>
        </w:p>
        <w:p w14:paraId="06872F1C" w14:textId="77777777" w:rsidR="0090311C" w:rsidRDefault="0090311C">
          <w:pPr>
            <w:pStyle w:val="TOC2"/>
            <w:tabs>
              <w:tab w:val="right" w:leader="dot" w:pos="10070"/>
            </w:tabs>
            <w:rPr>
              <w:noProof/>
            </w:rPr>
          </w:pPr>
          <w:hyperlink w:anchor="_Toc239590559" w:history="1">
            <w:r w:rsidRPr="00CD3C2B">
              <w:rPr>
                <w:rStyle w:val="Hyperlink"/>
                <w:noProof/>
              </w:rPr>
              <w:t>5.2 Color &amp; Contrast</w:t>
            </w:r>
            <w:r>
              <w:rPr>
                <w:noProof/>
              </w:rPr>
              <w:tab/>
            </w:r>
            <w:r>
              <w:rPr>
                <w:noProof/>
              </w:rPr>
              <w:fldChar w:fldCharType="begin"/>
            </w:r>
            <w:r>
              <w:rPr>
                <w:noProof/>
              </w:rPr>
              <w:instrText xml:space="preserve"> PAGEREF _Toc239590559 \h </w:instrText>
            </w:r>
            <w:r>
              <w:rPr>
                <w:noProof/>
              </w:rPr>
            </w:r>
            <w:r>
              <w:rPr>
                <w:noProof/>
              </w:rPr>
              <w:fldChar w:fldCharType="separate"/>
            </w:r>
            <w:r>
              <w:rPr>
                <w:noProof/>
              </w:rPr>
              <w:t>7</w:t>
            </w:r>
            <w:r>
              <w:rPr>
                <w:noProof/>
              </w:rPr>
              <w:fldChar w:fldCharType="end"/>
            </w:r>
          </w:hyperlink>
        </w:p>
        <w:p w14:paraId="0B270C5B" w14:textId="77777777" w:rsidR="0090311C" w:rsidRDefault="0090311C">
          <w:pPr>
            <w:pStyle w:val="TOC2"/>
            <w:tabs>
              <w:tab w:val="right" w:leader="dot" w:pos="10070"/>
            </w:tabs>
            <w:rPr>
              <w:noProof/>
            </w:rPr>
          </w:pPr>
          <w:hyperlink w:anchor="_Toc239590560" w:history="1">
            <w:r w:rsidRPr="00CD3C2B">
              <w:rPr>
                <w:rStyle w:val="Hyperlink"/>
                <w:noProof/>
              </w:rPr>
              <w:t>5.3 Touch Targets, Spacing &amp; Layout</w:t>
            </w:r>
            <w:r>
              <w:rPr>
                <w:noProof/>
              </w:rPr>
              <w:tab/>
            </w:r>
            <w:r>
              <w:rPr>
                <w:noProof/>
              </w:rPr>
              <w:fldChar w:fldCharType="begin"/>
            </w:r>
            <w:r>
              <w:rPr>
                <w:noProof/>
              </w:rPr>
              <w:instrText xml:space="preserve"> PAGEREF _Toc239590560 \h </w:instrText>
            </w:r>
            <w:r>
              <w:rPr>
                <w:noProof/>
              </w:rPr>
            </w:r>
            <w:r>
              <w:rPr>
                <w:noProof/>
              </w:rPr>
              <w:fldChar w:fldCharType="separate"/>
            </w:r>
            <w:r>
              <w:rPr>
                <w:noProof/>
              </w:rPr>
              <w:t>8</w:t>
            </w:r>
            <w:r>
              <w:rPr>
                <w:noProof/>
              </w:rPr>
              <w:fldChar w:fldCharType="end"/>
            </w:r>
          </w:hyperlink>
        </w:p>
        <w:p w14:paraId="7411C7F6" w14:textId="77777777" w:rsidR="0090311C" w:rsidRDefault="0090311C">
          <w:pPr>
            <w:pStyle w:val="TOC2"/>
            <w:tabs>
              <w:tab w:val="right" w:leader="dot" w:pos="10070"/>
            </w:tabs>
            <w:rPr>
              <w:noProof/>
            </w:rPr>
          </w:pPr>
          <w:hyperlink w:anchor="_Toc239590561" w:history="1">
            <w:r w:rsidRPr="00CD3C2B">
              <w:rPr>
                <w:rStyle w:val="Hyperlink"/>
                <w:noProof/>
              </w:rPr>
              <w:t>5.4 Voice, Audio &amp; Alternative Input</w:t>
            </w:r>
            <w:r>
              <w:rPr>
                <w:noProof/>
              </w:rPr>
              <w:tab/>
            </w:r>
            <w:r>
              <w:rPr>
                <w:noProof/>
              </w:rPr>
              <w:fldChar w:fldCharType="begin"/>
            </w:r>
            <w:r>
              <w:rPr>
                <w:noProof/>
              </w:rPr>
              <w:instrText xml:space="preserve"> PAGEREF _Toc239590561 \h </w:instrText>
            </w:r>
            <w:r>
              <w:rPr>
                <w:noProof/>
              </w:rPr>
            </w:r>
            <w:r>
              <w:rPr>
                <w:noProof/>
              </w:rPr>
              <w:fldChar w:fldCharType="separate"/>
            </w:r>
            <w:r>
              <w:rPr>
                <w:noProof/>
              </w:rPr>
              <w:t>8</w:t>
            </w:r>
            <w:r>
              <w:rPr>
                <w:noProof/>
              </w:rPr>
              <w:fldChar w:fldCharType="end"/>
            </w:r>
          </w:hyperlink>
        </w:p>
        <w:p w14:paraId="69311E74" w14:textId="77777777" w:rsidR="0090311C" w:rsidRDefault="0090311C">
          <w:pPr>
            <w:pStyle w:val="TOC2"/>
            <w:tabs>
              <w:tab w:val="right" w:leader="dot" w:pos="10070"/>
            </w:tabs>
            <w:rPr>
              <w:noProof/>
            </w:rPr>
          </w:pPr>
          <w:hyperlink w:anchor="_Toc239590562" w:history="1">
            <w:r w:rsidRPr="00CD3C2B">
              <w:rPr>
                <w:rStyle w:val="Hyperlink"/>
                <w:noProof/>
              </w:rPr>
              <w:t>5.5 Error Handling &amp; Forgiveness</w:t>
            </w:r>
            <w:r>
              <w:rPr>
                <w:noProof/>
              </w:rPr>
              <w:tab/>
            </w:r>
            <w:r>
              <w:rPr>
                <w:noProof/>
              </w:rPr>
              <w:fldChar w:fldCharType="begin"/>
            </w:r>
            <w:r>
              <w:rPr>
                <w:noProof/>
              </w:rPr>
              <w:instrText xml:space="preserve"> PAGEREF _Toc239590562 \h </w:instrText>
            </w:r>
            <w:r>
              <w:rPr>
                <w:noProof/>
              </w:rPr>
            </w:r>
            <w:r>
              <w:rPr>
                <w:noProof/>
              </w:rPr>
              <w:fldChar w:fldCharType="separate"/>
            </w:r>
            <w:r>
              <w:rPr>
                <w:noProof/>
              </w:rPr>
              <w:t>9</w:t>
            </w:r>
            <w:r>
              <w:rPr>
                <w:noProof/>
              </w:rPr>
              <w:fldChar w:fldCharType="end"/>
            </w:r>
          </w:hyperlink>
        </w:p>
        <w:p w14:paraId="1C6A2C2C" w14:textId="77777777" w:rsidR="0090311C" w:rsidRDefault="0090311C">
          <w:pPr>
            <w:pStyle w:val="TOC2"/>
            <w:tabs>
              <w:tab w:val="right" w:leader="dot" w:pos="10070"/>
            </w:tabs>
            <w:rPr>
              <w:noProof/>
            </w:rPr>
          </w:pPr>
          <w:hyperlink w:anchor="_Toc239590563" w:history="1">
            <w:r w:rsidRPr="00CD3C2B">
              <w:rPr>
                <w:rStyle w:val="Hyperlink"/>
                <w:noProof/>
              </w:rPr>
              <w:t>5.6 Progressive Disclosure</w:t>
            </w:r>
            <w:r>
              <w:rPr>
                <w:noProof/>
              </w:rPr>
              <w:tab/>
            </w:r>
            <w:r>
              <w:rPr>
                <w:noProof/>
              </w:rPr>
              <w:fldChar w:fldCharType="begin"/>
            </w:r>
            <w:r>
              <w:rPr>
                <w:noProof/>
              </w:rPr>
              <w:instrText xml:space="preserve"> PAGEREF _Toc239590563 \h </w:instrText>
            </w:r>
            <w:r>
              <w:rPr>
                <w:noProof/>
              </w:rPr>
            </w:r>
            <w:r>
              <w:rPr>
                <w:noProof/>
              </w:rPr>
              <w:fldChar w:fldCharType="separate"/>
            </w:r>
            <w:r>
              <w:rPr>
                <w:noProof/>
              </w:rPr>
              <w:t>9</w:t>
            </w:r>
            <w:r>
              <w:rPr>
                <w:noProof/>
              </w:rPr>
              <w:fldChar w:fldCharType="end"/>
            </w:r>
          </w:hyperlink>
        </w:p>
        <w:p w14:paraId="302D5A45" w14:textId="77777777" w:rsidR="0090311C" w:rsidRDefault="0090311C">
          <w:pPr>
            <w:pStyle w:val="TOC1"/>
            <w:tabs>
              <w:tab w:val="right" w:leader="dot" w:pos="10070"/>
            </w:tabs>
            <w:rPr>
              <w:noProof/>
            </w:rPr>
          </w:pPr>
          <w:hyperlink w:anchor="_Toc239590564" w:history="1">
            <w:r w:rsidRPr="00CD3C2B">
              <w:rPr>
                <w:rStyle w:val="Hyperlink"/>
                <w:noProof/>
              </w:rPr>
              <w:t>6. Caregiver-Facing Interface (Contrast Reference)</w:t>
            </w:r>
            <w:r>
              <w:rPr>
                <w:noProof/>
              </w:rPr>
              <w:tab/>
            </w:r>
            <w:r>
              <w:rPr>
                <w:noProof/>
              </w:rPr>
              <w:fldChar w:fldCharType="begin"/>
            </w:r>
            <w:r>
              <w:rPr>
                <w:noProof/>
              </w:rPr>
              <w:instrText xml:space="preserve"> PAGEREF _Toc239590564 \h </w:instrText>
            </w:r>
            <w:r>
              <w:rPr>
                <w:noProof/>
              </w:rPr>
            </w:r>
            <w:r>
              <w:rPr>
                <w:noProof/>
              </w:rPr>
              <w:fldChar w:fldCharType="separate"/>
            </w:r>
            <w:r>
              <w:rPr>
                <w:noProof/>
              </w:rPr>
              <w:t>9</w:t>
            </w:r>
            <w:r>
              <w:rPr>
                <w:noProof/>
              </w:rPr>
              <w:fldChar w:fldCharType="end"/>
            </w:r>
          </w:hyperlink>
        </w:p>
        <w:p w14:paraId="56ECCB14" w14:textId="77777777" w:rsidR="0090311C" w:rsidRDefault="0090311C">
          <w:pPr>
            <w:pStyle w:val="TOC1"/>
            <w:tabs>
              <w:tab w:val="right" w:leader="dot" w:pos="10070"/>
            </w:tabs>
            <w:rPr>
              <w:noProof/>
            </w:rPr>
          </w:pPr>
          <w:hyperlink w:anchor="_Toc239590565" w:history="1">
            <w:r w:rsidRPr="00CD3C2B">
              <w:rPr>
                <w:rStyle w:val="Hyperlink"/>
                <w:noProof/>
              </w:rPr>
              <w:t>7. MVP Success Metrics</w:t>
            </w:r>
            <w:r>
              <w:rPr>
                <w:noProof/>
              </w:rPr>
              <w:tab/>
            </w:r>
            <w:r>
              <w:rPr>
                <w:noProof/>
              </w:rPr>
              <w:fldChar w:fldCharType="begin"/>
            </w:r>
            <w:r>
              <w:rPr>
                <w:noProof/>
              </w:rPr>
              <w:instrText xml:space="preserve"> PAGEREF _Toc239590565 \h </w:instrText>
            </w:r>
            <w:r>
              <w:rPr>
                <w:noProof/>
              </w:rPr>
            </w:r>
            <w:r>
              <w:rPr>
                <w:noProof/>
              </w:rPr>
              <w:fldChar w:fldCharType="separate"/>
            </w:r>
            <w:r>
              <w:rPr>
                <w:noProof/>
              </w:rPr>
              <w:t>9</w:t>
            </w:r>
            <w:r>
              <w:rPr>
                <w:noProof/>
              </w:rPr>
              <w:fldChar w:fldCharType="end"/>
            </w:r>
          </w:hyperlink>
        </w:p>
        <w:p w14:paraId="55379914" w14:textId="77777777" w:rsidR="0090311C" w:rsidRDefault="0090311C">
          <w:pPr>
            <w:pStyle w:val="TOC2"/>
            <w:tabs>
              <w:tab w:val="right" w:leader="dot" w:pos="10070"/>
            </w:tabs>
            <w:rPr>
              <w:noProof/>
            </w:rPr>
          </w:pPr>
          <w:hyperlink w:anchor="_Toc239590566" w:history="1">
            <w:r w:rsidRPr="00CD3C2B">
              <w:rPr>
                <w:rStyle w:val="Hyperlink"/>
                <w:noProof/>
              </w:rPr>
              <w:t>7.1 Adoption &amp; Onboarding Health</w:t>
            </w:r>
            <w:r>
              <w:rPr>
                <w:noProof/>
              </w:rPr>
              <w:tab/>
            </w:r>
            <w:r>
              <w:rPr>
                <w:noProof/>
              </w:rPr>
              <w:fldChar w:fldCharType="begin"/>
            </w:r>
            <w:r>
              <w:rPr>
                <w:noProof/>
              </w:rPr>
              <w:instrText xml:space="preserve"> PAGEREF _Toc239590566 \h </w:instrText>
            </w:r>
            <w:r>
              <w:rPr>
                <w:noProof/>
              </w:rPr>
            </w:r>
            <w:r>
              <w:rPr>
                <w:noProof/>
              </w:rPr>
              <w:fldChar w:fldCharType="separate"/>
            </w:r>
            <w:r>
              <w:rPr>
                <w:noProof/>
              </w:rPr>
              <w:t>9</w:t>
            </w:r>
            <w:r>
              <w:rPr>
                <w:noProof/>
              </w:rPr>
              <w:fldChar w:fldCharType="end"/>
            </w:r>
          </w:hyperlink>
        </w:p>
        <w:p w14:paraId="50F873CC" w14:textId="77777777" w:rsidR="0090311C" w:rsidRDefault="0090311C">
          <w:pPr>
            <w:pStyle w:val="TOC2"/>
            <w:tabs>
              <w:tab w:val="right" w:leader="dot" w:pos="10070"/>
            </w:tabs>
            <w:rPr>
              <w:noProof/>
            </w:rPr>
          </w:pPr>
          <w:hyperlink w:anchor="_Toc239590567" w:history="1">
            <w:r w:rsidRPr="00CD3C2B">
              <w:rPr>
                <w:rStyle w:val="Hyperlink"/>
                <w:noProof/>
              </w:rPr>
              <w:t>7.2 Engagement &amp; Retention</w:t>
            </w:r>
            <w:r>
              <w:rPr>
                <w:noProof/>
              </w:rPr>
              <w:tab/>
            </w:r>
            <w:r>
              <w:rPr>
                <w:noProof/>
              </w:rPr>
              <w:fldChar w:fldCharType="begin"/>
            </w:r>
            <w:r>
              <w:rPr>
                <w:noProof/>
              </w:rPr>
              <w:instrText xml:space="preserve"> PAGEREF _Toc239590567 \h </w:instrText>
            </w:r>
            <w:r>
              <w:rPr>
                <w:noProof/>
              </w:rPr>
            </w:r>
            <w:r>
              <w:rPr>
                <w:noProof/>
              </w:rPr>
              <w:fldChar w:fldCharType="separate"/>
            </w:r>
            <w:r>
              <w:rPr>
                <w:noProof/>
              </w:rPr>
              <w:t>10</w:t>
            </w:r>
            <w:r>
              <w:rPr>
                <w:noProof/>
              </w:rPr>
              <w:fldChar w:fldCharType="end"/>
            </w:r>
          </w:hyperlink>
        </w:p>
        <w:p w14:paraId="667F49A6" w14:textId="77777777" w:rsidR="0090311C" w:rsidRDefault="0090311C">
          <w:pPr>
            <w:pStyle w:val="TOC1"/>
            <w:tabs>
              <w:tab w:val="right" w:leader="dot" w:pos="10070"/>
            </w:tabs>
            <w:rPr>
              <w:noProof/>
            </w:rPr>
          </w:pPr>
          <w:hyperlink w:anchor="_Toc239590568" w:history="1">
            <w:r w:rsidRPr="00CD3C2B">
              <w:rPr>
                <w:rStyle w:val="Hyperlink"/>
                <w:noProof/>
              </w:rPr>
              <w:t>8. Design Decisions at a Glance</w:t>
            </w:r>
            <w:r>
              <w:rPr>
                <w:noProof/>
              </w:rPr>
              <w:tab/>
            </w:r>
            <w:r>
              <w:rPr>
                <w:noProof/>
              </w:rPr>
              <w:fldChar w:fldCharType="begin"/>
            </w:r>
            <w:r>
              <w:rPr>
                <w:noProof/>
              </w:rPr>
              <w:instrText xml:space="preserve"> PAGEREF _Toc239590568 \h </w:instrText>
            </w:r>
            <w:r>
              <w:rPr>
                <w:noProof/>
              </w:rPr>
            </w:r>
            <w:r>
              <w:rPr>
                <w:noProof/>
              </w:rPr>
              <w:fldChar w:fldCharType="separate"/>
            </w:r>
            <w:r>
              <w:rPr>
                <w:noProof/>
              </w:rPr>
              <w:t>10</w:t>
            </w:r>
            <w:r>
              <w:rPr>
                <w:noProof/>
              </w:rPr>
              <w:fldChar w:fldCharType="end"/>
            </w:r>
          </w:hyperlink>
        </w:p>
        <w:p w14:paraId="3C395EC4" w14:textId="77777777" w:rsidR="0090311C" w:rsidRDefault="0090311C">
          <w:pPr>
            <w:pStyle w:val="TOC1"/>
            <w:tabs>
              <w:tab w:val="right" w:leader="dot" w:pos="10070"/>
            </w:tabs>
            <w:rPr>
              <w:noProof/>
            </w:rPr>
          </w:pPr>
          <w:hyperlink w:anchor="_Toc239590569" w:history="1">
            <w:r w:rsidRPr="00CD3C2B">
              <w:rPr>
                <w:rStyle w:val="Hyperlink"/>
                <w:noProof/>
              </w:rPr>
              <w:t>9. Source References</w:t>
            </w:r>
            <w:r>
              <w:rPr>
                <w:noProof/>
              </w:rPr>
              <w:tab/>
            </w:r>
            <w:r>
              <w:rPr>
                <w:noProof/>
              </w:rPr>
              <w:fldChar w:fldCharType="begin"/>
            </w:r>
            <w:r>
              <w:rPr>
                <w:noProof/>
              </w:rPr>
              <w:instrText xml:space="preserve"> PAGEREF _Toc239590569 \h </w:instrText>
            </w:r>
            <w:r>
              <w:rPr>
                <w:noProof/>
              </w:rPr>
            </w:r>
            <w:r>
              <w:rPr>
                <w:noProof/>
              </w:rPr>
              <w:fldChar w:fldCharType="separate"/>
            </w:r>
            <w:r>
              <w:rPr>
                <w:noProof/>
              </w:rPr>
              <w:t>11</w:t>
            </w:r>
            <w:r>
              <w:rPr>
                <w:noProof/>
              </w:rPr>
              <w:fldChar w:fldCharType="end"/>
            </w:r>
          </w:hyperlink>
        </w:p>
        <w:p w14:paraId="7FF54989" w14:textId="77777777" w:rsidR="00FE54A7" w:rsidRDefault="00000000">
          <w:r>
            <w:fldChar w:fldCharType="end"/>
          </w:r>
        </w:p>
      </w:sdtContent>
    </w:sdt>
    <w:p w14:paraId="0012FFCA" w14:textId="77777777" w:rsidR="00FE54A7" w:rsidRDefault="00000000">
      <w:r>
        <w:br w:type="page"/>
      </w:r>
    </w:p>
    <w:p w14:paraId="73EB94F6" w14:textId="77777777" w:rsidR="00FE54A7" w:rsidRDefault="00000000">
      <w:pPr>
        <w:pStyle w:val="Heading1"/>
        <w:spacing w:before="400" w:after="200"/>
      </w:pPr>
      <w:bookmarkStart w:id="1" w:name="_Toc239590542"/>
      <w:r>
        <w:lastRenderedPageBreak/>
        <w:t>1. Executive Summary</w:t>
      </w:r>
      <w:bookmarkEnd w:id="1"/>
    </w:p>
    <w:p w14:paraId="2FBEA47F" w14:textId="77777777" w:rsidR="00FE54A7" w:rsidRDefault="00000000">
      <w:pPr>
        <w:spacing w:after="160"/>
      </w:pPr>
      <w:r>
        <w:t>This document defines the MVP scope, the dual-account onboarding flow (elder + adult child/caregiver), and — the core of this deep-dive — a design system grounded in the published psychology and physiology of aging, not aesthetic preference.</w:t>
      </w:r>
    </w:p>
    <w:p w14:paraId="3FB95874" w14:textId="77777777" w:rsidR="00FE54A7" w:rsidRDefault="00000000">
      <w:pPr>
        <w:spacing w:after="160"/>
      </w:pPr>
      <w:r>
        <w:t>The central design insight is this: an elderly user's difficulty with an app is rarely a knowledge problem. It is usually one of three measurable, well-documented things — a vision change (contrast sensitivity, blue-green discrimination, need for more light), a cognitive change (declining fluid intelligence and working memory capacity, while crystallized intelligence and vocabulary stay strong), or an emotional barrier (technology anxiety and fear of making an irreversible mistake, rooted in low technology self-efficacy). Every font, color, spacing, and flow decision in this document is mapped back to one of these three categories, with the supporting study cited alongside it.</w:t>
      </w:r>
    </w:p>
    <w:p w14:paraId="44833C72" w14:textId="77777777" w:rsidR="00FE54A7" w:rsidRDefault="00000000">
      <w:pPr>
        <w:spacing w:after="160"/>
      </w:pPr>
      <w:r>
        <w:rPr>
          <w:b/>
          <w:bCs/>
        </w:rPr>
        <w:t xml:space="preserve">Design philosophy in one line: </w:t>
      </w:r>
      <w:r>
        <w:t>build for a first-time user who is anxious about breaking something, cannot easily distinguish blue from green, and has about 23% less working-memory capacity available for open-ended tasks than a younger adult — and you will have built something that works well for everyone.</w:t>
      </w:r>
    </w:p>
    <w:p w14:paraId="79B2C73D" w14:textId="77777777" w:rsidR="00FE54A7" w:rsidRDefault="00000000">
      <w:pPr>
        <w:pStyle w:val="Heading1"/>
        <w:spacing w:before="400" w:after="200"/>
      </w:pPr>
      <w:bookmarkStart w:id="2" w:name="_Toc239590543"/>
      <w:r>
        <w:t>2. MVP Scope</w:t>
      </w:r>
      <w:bookmarkEnd w:id="2"/>
    </w:p>
    <w:p w14:paraId="5A926997" w14:textId="77777777" w:rsidR="00FE54A7" w:rsidRDefault="00000000">
      <w:pPr>
        <w:spacing w:after="160"/>
      </w:pPr>
      <w:r>
        <w:t>The MVP is deliberately narrower than the full feature vision. It proves the core loop — a caregiver can see their parent is safe and cared for, and the senior feels genuinely less alone — before expanding into on-demand services, companion matching, or advanced health integrations.</w:t>
      </w:r>
    </w:p>
    <w:p w14:paraId="3DE9BE91" w14:textId="77777777" w:rsidR="00FE54A7" w:rsidRDefault="00000000">
      <w:pPr>
        <w:pStyle w:val="Heading2"/>
        <w:spacing w:before="300" w:after="150"/>
      </w:pPr>
      <w:bookmarkStart w:id="3" w:name="_Toc239590544"/>
      <w:r>
        <w:t>2.1 MVP — In Scope</w:t>
      </w:r>
      <w:bookmarkEnd w:id="3"/>
    </w:p>
    <w:p w14:paraId="4B408C0E" w14:textId="77777777" w:rsidR="00FE54A7" w:rsidRDefault="00000000">
      <w:pPr>
        <w:pStyle w:val="ListParagraph"/>
        <w:numPr>
          <w:ilvl w:val="0"/>
          <w:numId w:val="1"/>
        </w:numPr>
        <w:spacing w:after="90"/>
      </w:pPr>
      <w:r>
        <w:t>Dual account setup: one senior profile + one or more linked caregiver profiles (see Section 3)</w:t>
      </w:r>
    </w:p>
    <w:p w14:paraId="0649C497" w14:textId="77777777" w:rsidR="00FE54A7" w:rsidRDefault="00000000">
      <w:pPr>
        <w:pStyle w:val="ListParagraph"/>
        <w:numPr>
          <w:ilvl w:val="0"/>
          <w:numId w:val="1"/>
        </w:numPr>
        <w:spacing w:after="90"/>
      </w:pPr>
      <w:r>
        <w:t>Digital health basics: allergies, chronic conditions, blood group, current medications (manually entered, no device integration yet)</w:t>
      </w:r>
    </w:p>
    <w:p w14:paraId="57077D9E" w14:textId="77777777" w:rsidR="00FE54A7" w:rsidRDefault="00000000">
      <w:pPr>
        <w:pStyle w:val="ListParagraph"/>
        <w:numPr>
          <w:ilvl w:val="0"/>
          <w:numId w:val="1"/>
        </w:numPr>
        <w:spacing w:after="90"/>
      </w:pPr>
      <w:r>
        <w:t>Medication reminders with large visual + audio alerts and a simple "Taken" / "Snooze" response</w:t>
      </w:r>
    </w:p>
    <w:p w14:paraId="556AE90B" w14:textId="77777777" w:rsidR="00FE54A7" w:rsidRDefault="00000000">
      <w:pPr>
        <w:pStyle w:val="ListParagraph"/>
        <w:numPr>
          <w:ilvl w:val="0"/>
          <w:numId w:val="1"/>
        </w:numPr>
        <w:spacing w:after="90"/>
      </w:pPr>
      <w:r>
        <w:t>Emergency contacts with one-tap calling and an SOS button that alerts all linked caregivers with location</w:t>
      </w:r>
    </w:p>
    <w:p w14:paraId="017B3240" w14:textId="77777777" w:rsidR="00FE54A7" w:rsidRDefault="00000000">
      <w:pPr>
        <w:pStyle w:val="ListParagraph"/>
        <w:numPr>
          <w:ilvl w:val="0"/>
          <w:numId w:val="1"/>
        </w:numPr>
        <w:spacing w:after="90"/>
      </w:pPr>
      <w:r>
        <w:t>Doctor contact list (manually added) with one-tap calling</w:t>
      </w:r>
    </w:p>
    <w:p w14:paraId="6E438043" w14:textId="77777777" w:rsidR="00FE54A7" w:rsidRDefault="00000000">
      <w:pPr>
        <w:pStyle w:val="ListParagraph"/>
        <w:numPr>
          <w:ilvl w:val="0"/>
          <w:numId w:val="1"/>
        </w:numPr>
        <w:spacing w:after="90"/>
      </w:pPr>
      <w:r>
        <w:t>Nearest hospital/pharmacy lookup (map + one-tap call/directions)</w:t>
      </w:r>
    </w:p>
    <w:p w14:paraId="2E9C8154" w14:textId="77777777" w:rsidR="00FE54A7" w:rsidRDefault="00000000">
      <w:pPr>
        <w:pStyle w:val="ListParagraph"/>
        <w:numPr>
          <w:ilvl w:val="0"/>
          <w:numId w:val="1"/>
        </w:numPr>
        <w:spacing w:after="90"/>
      </w:pPr>
      <w:r>
        <w:t>Daily check-in prompt ("How are you feeling today?") visible to caregivers, with an automatic caregiver alert if the senior does not respond for 24–48 hours</w:t>
      </w:r>
    </w:p>
    <w:p w14:paraId="451A439D" w14:textId="77777777" w:rsidR="00FE54A7" w:rsidRDefault="00000000">
      <w:pPr>
        <w:pStyle w:val="ListParagraph"/>
        <w:numPr>
          <w:ilvl w:val="0"/>
          <w:numId w:val="1"/>
        </w:numPr>
        <w:spacing w:after="90"/>
      </w:pPr>
      <w:r>
        <w:t>A single, curated community feed: one daily discussion topic, voice-note replies, no open messaging or DMs in v1 to keep moderation and safety simple</w:t>
      </w:r>
    </w:p>
    <w:p w14:paraId="1BA0BE8C" w14:textId="77777777" w:rsidR="00FE54A7" w:rsidRDefault="00000000">
      <w:pPr>
        <w:pStyle w:val="ListParagraph"/>
        <w:numPr>
          <w:ilvl w:val="0"/>
          <w:numId w:val="1"/>
        </w:numPr>
        <w:spacing w:after="90"/>
      </w:pPr>
      <w:r>
        <w:t>Caregiver dashboard: medication adherence %, last check-in time, upcoming appointments — read-only in v1, no complex analytics</w:t>
      </w:r>
    </w:p>
    <w:p w14:paraId="00BAB28B" w14:textId="77777777" w:rsidR="00FE54A7" w:rsidRDefault="00000000">
      <w:pPr>
        <w:pStyle w:val="Heading2"/>
        <w:spacing w:before="300" w:after="150"/>
      </w:pPr>
      <w:bookmarkStart w:id="4" w:name="_Toc239590545"/>
      <w:r>
        <w:t>2.2 Explicitly Out of Scope for MVP (Phase 2+)</w:t>
      </w:r>
      <w:bookmarkEnd w:id="4"/>
    </w:p>
    <w:p w14:paraId="15601C05" w14:textId="77777777" w:rsidR="00FE54A7" w:rsidRDefault="00000000">
      <w:pPr>
        <w:pStyle w:val="ListParagraph"/>
        <w:numPr>
          <w:ilvl w:val="0"/>
          <w:numId w:val="1"/>
        </w:numPr>
        <w:spacing w:after="90"/>
      </w:pPr>
      <w:r>
        <w:t>Companion/buddy matching and vetted human companionship (requires background-verification infrastructure)</w:t>
      </w:r>
    </w:p>
    <w:p w14:paraId="231FB506" w14:textId="77777777" w:rsidR="00FE54A7" w:rsidRDefault="00000000">
      <w:pPr>
        <w:pStyle w:val="ListParagraph"/>
        <w:numPr>
          <w:ilvl w:val="0"/>
          <w:numId w:val="1"/>
        </w:numPr>
        <w:spacing w:after="90"/>
      </w:pPr>
      <w:r>
        <w:t>On-demand services marketplace (diagnostics, handyman, grocery)</w:t>
      </w:r>
    </w:p>
    <w:p w14:paraId="127077EB" w14:textId="77777777" w:rsidR="00FE54A7" w:rsidRDefault="00000000">
      <w:pPr>
        <w:pStyle w:val="ListParagraph"/>
        <w:numPr>
          <w:ilvl w:val="0"/>
          <w:numId w:val="1"/>
        </w:numPr>
        <w:spacing w:after="90"/>
      </w:pPr>
      <w:r>
        <w:t>Wearable/device integration for vitals</w:t>
      </w:r>
    </w:p>
    <w:p w14:paraId="7FB52E33" w14:textId="77777777" w:rsidR="00FE54A7" w:rsidRDefault="00000000">
      <w:pPr>
        <w:pStyle w:val="ListParagraph"/>
        <w:numPr>
          <w:ilvl w:val="0"/>
          <w:numId w:val="1"/>
        </w:numPr>
        <w:spacing w:after="90"/>
      </w:pPr>
      <w:r>
        <w:t>Video group events and live classes (start with voice-only; video adds bandwidth, dexterity, and privacy complexity)</w:t>
      </w:r>
    </w:p>
    <w:p w14:paraId="64BA4915" w14:textId="77777777" w:rsidR="00FE54A7" w:rsidRDefault="00000000">
      <w:pPr>
        <w:pStyle w:val="ListParagraph"/>
        <w:numPr>
          <w:ilvl w:val="0"/>
          <w:numId w:val="1"/>
        </w:numPr>
        <w:spacing w:after="90"/>
      </w:pPr>
      <w:r>
        <w:t>Multi-language support beyond the 1–2 launch languages</w:t>
      </w:r>
    </w:p>
    <w:p w14:paraId="59929819" w14:textId="77777777" w:rsidR="00FE54A7" w:rsidRDefault="00000000">
      <w:pPr>
        <w:spacing w:after="160"/>
      </w:pPr>
      <w:r>
        <w:lastRenderedPageBreak/>
        <w:t>This sequencing exists because every one of these Phase 2 features multiplies onboarding complexity and trust requirements — and trust, as covered in Section 4.4, is the single hardest thing to earn with a first-time elderly user and the easiest thing to lose.</w:t>
      </w:r>
    </w:p>
    <w:p w14:paraId="67E1DF61" w14:textId="77777777" w:rsidR="00FE54A7" w:rsidRDefault="00000000">
      <w:pPr>
        <w:pStyle w:val="Heading1"/>
        <w:spacing w:before="400" w:after="200"/>
      </w:pPr>
      <w:bookmarkStart w:id="5" w:name="_Toc239590546"/>
      <w:r>
        <w:t>3. Account Setup &amp; Onboarding</w:t>
      </w:r>
      <w:bookmarkEnd w:id="5"/>
    </w:p>
    <w:p w14:paraId="5F438672" w14:textId="77777777" w:rsidR="00FE54A7" w:rsidRDefault="00000000">
      <w:pPr>
        <w:spacing w:after="160"/>
      </w:pPr>
      <w:r>
        <w:t>Because real smartphone ownership among Indian seniors 55+ sits at roughly 5–11%, the primary onboarding path must assume the adult child sets up the account, with the senior completing only the lightest possible steps themselves. A senior-initiated path should still exist, but as the secondary flow.</w:t>
      </w:r>
    </w:p>
    <w:p w14:paraId="3C89A712" w14:textId="77777777" w:rsidR="00FE54A7" w:rsidRDefault="00000000">
      <w:pPr>
        <w:pStyle w:val="Heading2"/>
        <w:spacing w:before="300" w:after="150"/>
      </w:pPr>
      <w:bookmarkStart w:id="6" w:name="_Toc239590547"/>
      <w:r>
        <w:t>3.1 Primary Path — Caregiver-Led Setup</w:t>
      </w:r>
      <w:bookmarkEnd w:id="6"/>
    </w:p>
    <w:p w14:paraId="07DB2759" w14:textId="77777777" w:rsidR="00FE54A7" w:rsidRDefault="00000000">
      <w:pPr>
        <w:pStyle w:val="ListParagraph"/>
        <w:numPr>
          <w:ilvl w:val="0"/>
          <w:numId w:val="1"/>
        </w:numPr>
        <w:spacing w:after="90"/>
      </w:pPr>
      <w:r>
        <w:t>Step 1: Adult child downloads the app and creates their own account (email/phone + OTP — a pattern they already know from banking and UPI apps).</w:t>
      </w:r>
    </w:p>
    <w:p w14:paraId="7D813195" w14:textId="77777777" w:rsidR="00FE54A7" w:rsidRDefault="00000000">
      <w:pPr>
        <w:pStyle w:val="ListParagraph"/>
        <w:numPr>
          <w:ilvl w:val="0"/>
          <w:numId w:val="1"/>
        </w:numPr>
        <w:spacing w:after="90"/>
      </w:pPr>
      <w:r>
        <w:t>Step 2: Child creates a senior profile within their account — name, age, photo, one or two chronic conditions if known, and adds themselves as the first emergency contact automatically.</w:t>
      </w:r>
    </w:p>
    <w:p w14:paraId="6058206E" w14:textId="77777777" w:rsidR="00FE54A7" w:rsidRDefault="00000000">
      <w:pPr>
        <w:pStyle w:val="ListParagraph"/>
        <w:numPr>
          <w:ilvl w:val="0"/>
          <w:numId w:val="1"/>
        </w:numPr>
        <w:spacing w:after="90"/>
      </w:pPr>
      <w:r>
        <w:t>Step 3: App generates a large QR code and a 6-digit numeric code — the two lowest-friction pairing methods for someone with limited digital literacy. The child shows this to the parent, or the app itself opens on the parent's phone via a sent link.</w:t>
      </w:r>
    </w:p>
    <w:p w14:paraId="2FE10D2E" w14:textId="77777777" w:rsidR="00FE54A7" w:rsidRDefault="00000000">
      <w:pPr>
        <w:pStyle w:val="ListParagraph"/>
        <w:numPr>
          <w:ilvl w:val="0"/>
          <w:numId w:val="1"/>
        </w:numPr>
        <w:spacing w:after="90"/>
      </w:pPr>
      <w:r>
        <w:t>Step 4: On the senior's phone, the app opens directly to a 3-screen welcome (see 3.3) already pre-filled with their name and photo — the senior never types anything to get started.</w:t>
      </w:r>
    </w:p>
    <w:p w14:paraId="67C362CB" w14:textId="77777777" w:rsidR="00FE54A7" w:rsidRDefault="00000000">
      <w:pPr>
        <w:pStyle w:val="ListParagraph"/>
        <w:numPr>
          <w:ilvl w:val="0"/>
          <w:numId w:val="1"/>
        </w:numPr>
        <w:spacing w:after="90"/>
      </w:pPr>
      <w:r>
        <w:t>Step 5: Child completes medication, doctor, and emergency-contact details from their own phone — the senior does not have to do any data entry on day one.</w:t>
      </w:r>
    </w:p>
    <w:p w14:paraId="4DB1F1B8" w14:textId="77777777" w:rsidR="00FE54A7" w:rsidRDefault="00000000">
      <w:pPr>
        <w:pStyle w:val="Heading2"/>
        <w:spacing w:before="300" w:after="150"/>
      </w:pPr>
      <w:bookmarkStart w:id="7" w:name="_Toc239590548"/>
      <w:r>
        <w:t>3.2 Secondary Path — Senior-Led Setup</w:t>
      </w:r>
      <w:bookmarkEnd w:id="7"/>
    </w:p>
    <w:p w14:paraId="3E92EFDE" w14:textId="77777777" w:rsidR="00FE54A7" w:rsidRDefault="00000000">
      <w:pPr>
        <w:pStyle w:val="ListParagraph"/>
        <w:numPr>
          <w:ilvl w:val="0"/>
          <w:numId w:val="1"/>
        </w:numPr>
        <w:spacing w:after="90"/>
      </w:pPr>
      <w:r>
        <w:t>For digitally confident seniors: same OTP-based signup, but every optional field is skippable with a visible "Ask a family member to help with this later" option rather than a hard requirement — removing the anxiety of an unanswerable question blocking progress.</w:t>
      </w:r>
    </w:p>
    <w:p w14:paraId="2608F131" w14:textId="77777777" w:rsidR="00FE54A7" w:rsidRDefault="00000000">
      <w:pPr>
        <w:pStyle w:val="ListParagraph"/>
        <w:numPr>
          <w:ilvl w:val="0"/>
          <w:numId w:val="1"/>
        </w:numPr>
        <w:spacing w:after="90"/>
      </w:pPr>
      <w:r>
        <w:t>A single prominent "Invite a family member" button is shown after signup, since caregiver linkage strengthens the safety-net promise of the product either way.</w:t>
      </w:r>
    </w:p>
    <w:p w14:paraId="40199A9A" w14:textId="77777777" w:rsidR="00FE54A7" w:rsidRDefault="00000000">
      <w:pPr>
        <w:pStyle w:val="Heading2"/>
        <w:spacing w:before="300" w:after="150"/>
      </w:pPr>
      <w:bookmarkStart w:id="8" w:name="_Toc239590549"/>
      <w:r>
        <w:t>3.3 The Senior's First-Run Screens (Design Rationale)</w:t>
      </w:r>
      <w:bookmarkEnd w:id="8"/>
    </w:p>
    <w:p w14:paraId="314CC975" w14:textId="77777777" w:rsidR="00FE54A7" w:rsidRDefault="00000000">
      <w:pPr>
        <w:pStyle w:val="ListParagraph"/>
        <w:numPr>
          <w:ilvl w:val="0"/>
          <w:numId w:val="1"/>
        </w:numPr>
        <w:spacing w:after="90"/>
      </w:pPr>
      <w:r>
        <w:t>Screen 1: A single sentence — "Welcome, [Name]. Your family added you so they can help take care of you." No jargon, no permissions dialog yet, no choice to make. This directly answers the older-user question "why am I here and is this safe" before any interaction is required — addressing the trust-before-competence principle described in Section 4.4.</w:t>
      </w:r>
    </w:p>
    <w:p w14:paraId="69D95A3A" w14:textId="77777777" w:rsidR="00FE54A7" w:rsidRDefault="00000000">
      <w:pPr>
        <w:pStyle w:val="ListParagraph"/>
        <w:numPr>
          <w:ilvl w:val="0"/>
          <w:numId w:val="1"/>
        </w:numPr>
        <w:spacing w:after="90"/>
      </w:pPr>
      <w:r>
        <w:t>Screen 2: One big button: "See my family's message" (a warm, human first action, not a settings screen or menu) — gives an early, low-effort "win" that builds technology self-efficacy, which research shows is the strongest predictor of continued use after a person's first session.</w:t>
      </w:r>
    </w:p>
    <w:p w14:paraId="52676346" w14:textId="77777777" w:rsidR="00FE54A7" w:rsidRDefault="00000000">
      <w:pPr>
        <w:pStyle w:val="ListParagraph"/>
        <w:numPr>
          <w:ilvl w:val="0"/>
          <w:numId w:val="1"/>
        </w:numPr>
        <w:spacing w:after="90"/>
      </w:pPr>
      <w:r>
        <w:t>Screen 3: A 3-icon home screen only — Health, Family, Talk to Someone — nothing else visible. Additional features unlock gradually after the senior demonstrates comfort with these three, rather than presenting the full app at once.</w:t>
      </w:r>
    </w:p>
    <w:p w14:paraId="6358461A" w14:textId="77777777" w:rsidR="00FE54A7" w:rsidRDefault="00000000">
      <w:pPr>
        <w:spacing w:after="220"/>
      </w:pPr>
      <w:r>
        <w:rPr>
          <w:i/>
          <w:iCs/>
          <w:color w:val="6B7280"/>
          <w:sz w:val="18"/>
          <w:szCs w:val="18"/>
        </w:rPr>
        <w:t>Source: Onboarding-friction findings: JMIR mHealth setup-experience study (older adults' technology self-efficacy and first-session frustration, 2026); NNG 'Usability for Older Adults' (unforgiving interfaces); digital-start.org confidence-building strategies.</w:t>
      </w:r>
    </w:p>
    <w:p w14:paraId="4C862CD6" w14:textId="77777777" w:rsidR="00FE54A7" w:rsidRDefault="00000000">
      <w:pPr>
        <w:pStyle w:val="Heading2"/>
        <w:spacing w:before="300" w:after="150"/>
      </w:pPr>
      <w:bookmarkStart w:id="9" w:name="_Toc239590550"/>
      <w:r>
        <w:t>3.4 Linking &amp; Ongoing Permissions</w:t>
      </w:r>
      <w:bookmarkEnd w:id="9"/>
    </w:p>
    <w:p w14:paraId="5272DBF7" w14:textId="77777777" w:rsidR="00FE54A7" w:rsidRDefault="00000000">
      <w:pPr>
        <w:pStyle w:val="ListParagraph"/>
        <w:numPr>
          <w:ilvl w:val="0"/>
          <w:numId w:val="1"/>
        </w:numPr>
        <w:spacing w:after="90"/>
      </w:pPr>
      <w:r>
        <w:lastRenderedPageBreak/>
        <w:t>Multiple caregivers (e.g., two siblings) can link to one senior profile; the senior can see exactly who is linked and can remove access themselves at any time from a clearly labeled "Who can see my information" screen — visible control reduces the privacy-related component of technology anxiety documented in the literature.</w:t>
      </w:r>
    </w:p>
    <w:p w14:paraId="1B6D84D9" w14:textId="77777777" w:rsidR="00FE54A7" w:rsidRDefault="00000000">
      <w:pPr>
        <w:pStyle w:val="ListParagraph"/>
        <w:numPr>
          <w:ilvl w:val="0"/>
          <w:numId w:val="1"/>
        </w:numPr>
        <w:spacing w:after="90"/>
      </w:pPr>
      <w:r>
        <w:t>No feature in the senior-facing app requires the senior to grant a permission dialog they don't understand (e.g., raw OS-level location-permission jargon) — these are requested and explained by the app in plain language at the moment they're needed, not all at once during setup.</w:t>
      </w:r>
    </w:p>
    <w:p w14:paraId="538E44CF" w14:textId="77777777" w:rsidR="00FE54A7" w:rsidRDefault="00000000">
      <w:pPr>
        <w:pStyle w:val="Heading1"/>
        <w:spacing w:before="400" w:after="200"/>
      </w:pPr>
      <w:bookmarkStart w:id="10" w:name="_Toc239590551"/>
      <w:r>
        <w:t>4. The Psychology and Physiology of Aging — What We Are Designing For</w:t>
      </w:r>
      <w:bookmarkEnd w:id="10"/>
    </w:p>
    <w:p w14:paraId="13F29A16" w14:textId="77777777" w:rsidR="00FE54A7" w:rsidRDefault="00000000">
      <w:pPr>
        <w:spacing w:after="160"/>
      </w:pPr>
      <w:r>
        <w:t>This section is the evidence base for every design decision in Section 5. It is organized around the four things that actually change with age and matter for interface design: vision, cognition, motor control, and emotional relationship with technology.</w:t>
      </w:r>
    </w:p>
    <w:p w14:paraId="5D0DEC26" w14:textId="77777777" w:rsidR="00FE54A7" w:rsidRDefault="00000000">
      <w:pPr>
        <w:pStyle w:val="Heading2"/>
        <w:spacing w:before="300" w:after="150"/>
      </w:pPr>
      <w:bookmarkStart w:id="11" w:name="_Toc239590552"/>
      <w:r>
        <w:t>4.1 Vision Changes</w:t>
      </w:r>
      <w:bookmarkEnd w:id="11"/>
    </w:p>
    <w:p w14:paraId="7A294372" w14:textId="77777777" w:rsidR="00FE54A7" w:rsidRDefault="00000000">
      <w:pPr>
        <w:pStyle w:val="ListParagraph"/>
        <w:numPr>
          <w:ilvl w:val="0"/>
          <w:numId w:val="1"/>
        </w:numPr>
        <w:spacing w:after="90"/>
      </w:pPr>
      <w:r>
        <w:t>The eye's crystalline lens yellows with age, filtering out blue and violet light — this means white screens can appear dull/yellowish to seniors, and blues look darker and less saturated than they do to younger users.</w:t>
      </w:r>
    </w:p>
    <w:p w14:paraId="1C0D5DDC" w14:textId="77777777" w:rsidR="00FE54A7" w:rsidRDefault="00000000">
      <w:pPr>
        <w:pStyle w:val="ListParagraph"/>
        <w:numPr>
          <w:ilvl w:val="0"/>
          <w:numId w:val="1"/>
        </w:numPr>
        <w:spacing w:after="90"/>
      </w:pPr>
      <w:r>
        <w:t>Older adults are measurably worse at distinguishing blue from green on the yellow-blue perceptual axis specifically (more than on the red-green axis), and this gets worse after age 40 and further after cataract development.</w:t>
      </w:r>
    </w:p>
    <w:p w14:paraId="47D674B2" w14:textId="77777777" w:rsidR="00FE54A7" w:rsidRDefault="00000000">
      <w:pPr>
        <w:pStyle w:val="ListParagraph"/>
        <w:numPr>
          <w:ilvl w:val="0"/>
          <w:numId w:val="1"/>
        </w:numPr>
        <w:spacing w:after="90"/>
      </w:pPr>
      <w:r>
        <w:t>Contrast sensitivity (the ability to tell an object apart from its background) declines steadily from age 50 and becomes acute by around age 80.</w:t>
      </w:r>
    </w:p>
    <w:p w14:paraId="0947BE36" w14:textId="77777777" w:rsidR="00FE54A7" w:rsidRDefault="00000000">
      <w:pPr>
        <w:pStyle w:val="ListParagraph"/>
        <w:numPr>
          <w:ilvl w:val="0"/>
          <w:numId w:val="1"/>
        </w:numPr>
        <w:spacing w:after="90"/>
      </w:pPr>
      <w:r>
        <w:t>The average 60-year-old needs roughly three times more light than a 20-year-old to see equally well — meaning insufficient in-app brightness/contrast has a much larger real effect on a senior than on a younger tester reviewing the same screen.</w:t>
      </w:r>
    </w:p>
    <w:p w14:paraId="2058E686" w14:textId="77777777" w:rsidR="00FE54A7" w:rsidRDefault="00000000">
      <w:pPr>
        <w:pStyle w:val="ListParagraph"/>
        <w:numPr>
          <w:ilvl w:val="0"/>
          <w:numId w:val="1"/>
        </w:numPr>
        <w:spacing w:after="90"/>
      </w:pPr>
      <w:r>
        <w:t>Design implication: avoid blue/green as the only differentiator between two important elements (e.g., a green "confirm" vs blue "cancel" button pair is a genuinely hard visual distinction for this group), favor high-saturation deep blues over pale/grayed blues if blue must be used, and never rely on color alone — always pair color with a text label or icon.</w:t>
      </w:r>
    </w:p>
    <w:p w14:paraId="0D907268" w14:textId="77777777" w:rsidR="00FE54A7" w:rsidRDefault="00000000">
      <w:pPr>
        <w:spacing w:after="220"/>
      </w:pPr>
      <w:r>
        <w:rPr>
          <w:i/>
          <w:iCs/>
          <w:color w:val="6B7280"/>
          <w:sz w:val="18"/>
          <w:szCs w:val="18"/>
        </w:rPr>
        <w:t>Source: Sherwin-Williams / Schneck (color perception and the aging eye); NCBI 'Age-related changes in visual search' (yellow-blue axis, Knoblauch et al.); NCBI 'The Aging Eye' (NIH Bookshelf); GerontoVis (arXiv, 2024) on contrast sensitivity decline by age 80.</w:t>
      </w:r>
    </w:p>
    <w:p w14:paraId="7981BD72" w14:textId="77777777" w:rsidR="00FE54A7" w:rsidRDefault="00000000">
      <w:pPr>
        <w:pStyle w:val="Heading2"/>
        <w:spacing w:before="300" w:after="150"/>
      </w:pPr>
      <w:bookmarkStart w:id="12" w:name="_Toc239590553"/>
      <w:r>
        <w:t>4.2 Cognitive Changes</w:t>
      </w:r>
      <w:bookmarkEnd w:id="12"/>
    </w:p>
    <w:p w14:paraId="014DAB10" w14:textId="77777777" w:rsidR="00FE54A7" w:rsidRDefault="00000000">
      <w:pPr>
        <w:pStyle w:val="ListParagraph"/>
        <w:numPr>
          <w:ilvl w:val="0"/>
          <w:numId w:val="1"/>
        </w:numPr>
        <w:spacing w:after="90"/>
      </w:pPr>
      <w:r>
        <w:t>Cognitive aging research distinguishes fluid intelligence (the ability to reason through new, unfamiliar problems in the moment) from crystallized intelligence (accumulated knowledge, vocabulary, and familiar skills). Fluid intelligence declines with age; crystallized intelligence holds steady or even increases.</w:t>
      </w:r>
    </w:p>
    <w:p w14:paraId="1BA846FA" w14:textId="77777777" w:rsidR="00FE54A7" w:rsidRDefault="00000000">
      <w:pPr>
        <w:pStyle w:val="ListParagraph"/>
        <w:numPr>
          <w:ilvl w:val="0"/>
          <w:numId w:val="1"/>
        </w:numPr>
        <w:spacing w:after="90"/>
      </w:pPr>
      <w:r>
        <w:t>This matters directly for app design: a senior's ability to recall the name of their childhood village, a family member's birthday, or the meaning of a Hindi/English word they already knew is intact. Their ability to figure out an unfamiliar, abstract new interaction pattern (e.g., a swipe gesture, a nested settings menu) is what's compromised — not because they're less capable, but because operating a smartphone is a fluid-intelligence task built on skills most seniors never practiced when young.</w:t>
      </w:r>
    </w:p>
    <w:p w14:paraId="21B7A736" w14:textId="77777777" w:rsidR="00FE54A7" w:rsidRDefault="00000000">
      <w:pPr>
        <w:pStyle w:val="ListParagraph"/>
        <w:numPr>
          <w:ilvl w:val="0"/>
          <w:numId w:val="1"/>
        </w:numPr>
        <w:spacing w:after="90"/>
      </w:pPr>
      <w:r>
        <w:t>In demanding, open-ended tasks, older adults' working memory capacity is measured at roughly 23% lower than younger adults' — meaning a multi-step flow that requires holding several pieces of information in mind at once (e.g., "remember this code, switch apps, then paste it") is disproportionately harder for this group, not just slower.</w:t>
      </w:r>
    </w:p>
    <w:p w14:paraId="1D967F0D" w14:textId="77777777" w:rsidR="00FE54A7" w:rsidRDefault="00000000">
      <w:pPr>
        <w:pStyle w:val="ListParagraph"/>
        <w:numPr>
          <w:ilvl w:val="0"/>
          <w:numId w:val="1"/>
        </w:numPr>
        <w:spacing w:after="90"/>
      </w:pPr>
      <w:r>
        <w:t>Design implication: lean on crystallized-intelligence-friendly interaction — plain, familiar words instead of invented app jargon ("send," not "share to," "call the doctor," not "initiate contact") — and minimize fluid-</w:t>
      </w:r>
      <w:r>
        <w:lastRenderedPageBreak/>
        <w:t>intelligence load by keeping every task to a single step per screen, never requiring information to be held in memory across screens or apps.</w:t>
      </w:r>
    </w:p>
    <w:p w14:paraId="3194C8F0" w14:textId="77777777" w:rsidR="00FE54A7" w:rsidRDefault="00000000">
      <w:pPr>
        <w:spacing w:after="220"/>
      </w:pPr>
      <w:r>
        <w:rPr>
          <w:i/>
          <w:iCs/>
          <w:color w:val="6B7280"/>
          <w:sz w:val="18"/>
          <w:szCs w:val="18"/>
        </w:rPr>
        <w:t>Source: BrainHQ, 'Helping older adults overcome the challenges of technology' (fluid vs. crystallized intelligence); PMC 'Who adapts to whom: technology or older adults?' (23% working-memory reduction figure); Science Advances, cognitive aging fluid/crystallized dependency study.</w:t>
      </w:r>
    </w:p>
    <w:p w14:paraId="33ED6BA7" w14:textId="77777777" w:rsidR="00FE54A7" w:rsidRDefault="00000000">
      <w:pPr>
        <w:pStyle w:val="Heading2"/>
        <w:spacing w:before="300" w:after="150"/>
      </w:pPr>
      <w:bookmarkStart w:id="13" w:name="_Toc239590554"/>
      <w:r>
        <w:t>4.3 Motor &amp; Dexterity Changes</w:t>
      </w:r>
      <w:bookmarkEnd w:id="13"/>
    </w:p>
    <w:p w14:paraId="3647BA4D" w14:textId="77777777" w:rsidR="00FE54A7" w:rsidRDefault="00000000">
      <w:pPr>
        <w:pStyle w:val="ListParagraph"/>
        <w:numPr>
          <w:ilvl w:val="0"/>
          <w:numId w:val="1"/>
        </w:numPr>
        <w:spacing w:after="90"/>
      </w:pPr>
      <w:r>
        <w:t>Reduced grip strength, joint stiffness, and tremor make small, closely-spaced touch targets a leading cause of app abandonment in this age group — mis-taps are not a comprehension failure, they are a physical one, and repeated mis-taps directly feed the anxiety described in 4.4.</w:t>
      </w:r>
    </w:p>
    <w:p w14:paraId="78C2E8E2" w14:textId="77777777" w:rsidR="00FE54A7" w:rsidRDefault="00000000">
      <w:pPr>
        <w:pStyle w:val="ListParagraph"/>
        <w:numPr>
          <w:ilvl w:val="0"/>
          <w:numId w:val="1"/>
        </w:numPr>
        <w:spacing w:after="90"/>
      </w:pPr>
      <w:r>
        <w:t>Standard mobile touch-target guidance (Apple/Google) sets 44×44px as a general minimum; multiple senior-specific usability studies recommend treating that number as an absolute floor, not a target, for this demographic.</w:t>
      </w:r>
    </w:p>
    <w:p w14:paraId="686D2494" w14:textId="77777777" w:rsidR="00FE54A7" w:rsidRDefault="00000000">
      <w:pPr>
        <w:pStyle w:val="ListParagraph"/>
        <w:numPr>
          <w:ilvl w:val="0"/>
          <w:numId w:val="1"/>
        </w:numPr>
        <w:spacing w:after="90"/>
      </w:pPr>
      <w:r>
        <w:t>Design implication: primary actions should be large single buttons with generous spacing, never two tappable elements close enough to invite an accidental adjacent tap — critical for anything irreversible, like an SOS call or a "delete" action.</w:t>
      </w:r>
    </w:p>
    <w:p w14:paraId="3E2132FC" w14:textId="77777777" w:rsidR="00FE54A7" w:rsidRDefault="00000000">
      <w:pPr>
        <w:spacing w:after="220"/>
      </w:pPr>
      <w:r>
        <w:rPr>
          <w:i/>
          <w:iCs/>
          <w:color w:val="6B7280"/>
          <w:sz w:val="18"/>
          <w:szCs w:val="18"/>
        </w:rPr>
        <w:t>Source: Toptal 'A Guide to Interface Design for Older Adults'; Bentley University UX Center, 'Designing Mobile Experiences with Seniors in Mind'; ACM 'Design for Older People' (2026).</w:t>
      </w:r>
    </w:p>
    <w:p w14:paraId="1AADB2A2" w14:textId="77777777" w:rsidR="00FE54A7" w:rsidRDefault="00000000">
      <w:pPr>
        <w:pStyle w:val="Heading2"/>
        <w:spacing w:before="300" w:after="150"/>
      </w:pPr>
      <w:bookmarkStart w:id="14" w:name="_Toc239590555"/>
      <w:r>
        <w:t>4.4 The Emotional Barrier: Technology Anxiety, Self-Efficacy, and Fear of Mistakes</w:t>
      </w:r>
      <w:bookmarkEnd w:id="14"/>
    </w:p>
    <w:p w14:paraId="14AAB677" w14:textId="77777777" w:rsidR="00FE54A7" w:rsidRDefault="00000000">
      <w:pPr>
        <w:pStyle w:val="ListParagraph"/>
        <w:numPr>
          <w:ilvl w:val="0"/>
          <w:numId w:val="1"/>
        </w:numPr>
        <w:spacing w:after="90"/>
      </w:pPr>
      <w:r>
        <w:t>Technology anxiety in older adults is a well-defined, measured construct — apprehension and fear specifically about interacting with technology, distinct from general anxiety — and it is one of the strongest predictors of non-adoption, independent of actual ability.</w:t>
      </w:r>
    </w:p>
    <w:p w14:paraId="74269CE3" w14:textId="77777777" w:rsidR="00FE54A7" w:rsidRDefault="00000000">
      <w:pPr>
        <w:pStyle w:val="ListParagraph"/>
        <w:numPr>
          <w:ilvl w:val="0"/>
          <w:numId w:val="1"/>
        </w:numPr>
        <w:spacing w:after="90"/>
      </w:pPr>
      <w:r>
        <w:t>A field study of older adults setting up digital health devices found that participants with lower technology self-efficacy at the start experienced more frustration, anxiety, and even embarrassment as friction accumulated during setup — and that willingness to continue using the app dropped from 67% after week one to 54% by week four, showing that early friction compounds rather than fades.</w:t>
      </w:r>
    </w:p>
    <w:p w14:paraId="085DB05F" w14:textId="77777777" w:rsidR="00FE54A7" w:rsidRDefault="00000000">
      <w:pPr>
        <w:pStyle w:val="ListParagraph"/>
        <w:numPr>
          <w:ilvl w:val="0"/>
          <w:numId w:val="1"/>
        </w:numPr>
        <w:spacing w:after="90"/>
      </w:pPr>
      <w:r>
        <w:t>A recurring, specific fear documented across multiple studies is that the senior might "break something expensive" or make an irreversible mistake — this is not an abstract worry, it directly shapes behavior (e.g., avoiding buttons, refusing to explore).</w:t>
      </w:r>
    </w:p>
    <w:p w14:paraId="0D43E263" w14:textId="77777777" w:rsidR="00FE54A7" w:rsidRDefault="00000000">
      <w:pPr>
        <w:pStyle w:val="ListParagraph"/>
        <w:numPr>
          <w:ilvl w:val="0"/>
          <w:numId w:val="1"/>
        </w:numPr>
        <w:spacing w:after="90"/>
      </w:pPr>
      <w:r>
        <w:t>There is a documented vicious cycle: negative self-perception of one's own aging increases technology anxiety, which reduces technology use, which reinforces the belief that one cannot learn new technology — meaning the app's tone and error-handling either interrupt or accelerate this cycle.</w:t>
      </w:r>
    </w:p>
    <w:p w14:paraId="0050BA73" w14:textId="77777777" w:rsidR="00FE54A7" w:rsidRDefault="00000000">
      <w:pPr>
        <w:pStyle w:val="ListParagraph"/>
        <w:numPr>
          <w:ilvl w:val="0"/>
          <w:numId w:val="1"/>
        </w:numPr>
        <w:spacing w:after="90"/>
      </w:pPr>
      <w:r>
        <w:t>Design implication: every irreversible action needs a confirmation step with a clear, friendly explanation and an undo option where feasible; error messages must never use blame language ("You entered this incorrectly") and should instead explain what happened and offer the next step ("That code didn't match — let's try scanning it again"); early sessions should be engineered to produce a fast, visible success (see Screen 2 in Section 3.3) because a documented "sense of achievement" measurably buffers technology anxiety.</w:t>
      </w:r>
    </w:p>
    <w:p w14:paraId="340D7005" w14:textId="77777777" w:rsidR="00FE54A7" w:rsidRDefault="00000000">
      <w:pPr>
        <w:spacing w:after="220"/>
      </w:pPr>
      <w:r>
        <w:rPr>
          <w:i/>
          <w:iCs/>
          <w:color w:val="6B7280"/>
          <w:sz w:val="18"/>
          <w:szCs w:val="18"/>
        </w:rPr>
        <w:t>Source: JMIR Aging, 'From Digital Anxiety to Empowerment in Older Adults' (2026); ScienceDirect case report on digital health device setup and dropping engagement (67%→54%); BMC Public Health, self-perception of aging and technology anxiety vicious-cycle study (2024); digital-start.org confidence-building strategies.</w:t>
      </w:r>
    </w:p>
    <w:p w14:paraId="028F4A09" w14:textId="77777777" w:rsidR="00FE54A7" w:rsidRDefault="00000000">
      <w:pPr>
        <w:pStyle w:val="Heading2"/>
        <w:spacing w:before="300" w:after="150"/>
      </w:pPr>
      <w:bookmarkStart w:id="15" w:name="_Toc239590556"/>
      <w:r>
        <w:t>4.5 Social Learning and Trust</w:t>
      </w:r>
      <w:bookmarkEnd w:id="15"/>
    </w:p>
    <w:p w14:paraId="4E17F171" w14:textId="77777777" w:rsidR="00FE54A7" w:rsidRDefault="00000000">
      <w:pPr>
        <w:pStyle w:val="ListParagraph"/>
        <w:numPr>
          <w:ilvl w:val="0"/>
          <w:numId w:val="1"/>
        </w:numPr>
        <w:spacing w:after="90"/>
      </w:pPr>
      <w:r>
        <w:t>Multiple studies find that older adults learn technology most effectively from peers — other seniors who have already succeeded with the same task — rather than from younger family members or written instructions, because peer models reduce the intimidation and stereotype-related self-doubt that a younger "teacher" can inadvertently trigger.</w:t>
      </w:r>
    </w:p>
    <w:p w14:paraId="07966269" w14:textId="77777777" w:rsidR="00FE54A7" w:rsidRDefault="00000000">
      <w:pPr>
        <w:pStyle w:val="ListParagraph"/>
        <w:numPr>
          <w:ilvl w:val="0"/>
          <w:numId w:val="1"/>
        </w:numPr>
        <w:spacing w:after="90"/>
      </w:pPr>
      <w:r>
        <w:lastRenderedPageBreak/>
        <w:t>Family involvement can backfire when it slips into "taking over the task" rather than teaching, or when impatience is expressed during the learning curve — both are documented as common, well-intentioned mistakes that reduce a senior's confidence rather than building it.</w:t>
      </w:r>
    </w:p>
    <w:p w14:paraId="2F49FEE8" w14:textId="77777777" w:rsidR="00FE54A7" w:rsidRDefault="00000000">
      <w:pPr>
        <w:pStyle w:val="ListParagraph"/>
        <w:numPr>
          <w:ilvl w:val="0"/>
          <w:numId w:val="1"/>
        </w:numPr>
        <w:spacing w:after="90"/>
      </w:pPr>
      <w:r>
        <w:t>Design implication: in-app help should default to short, senior-narrated audio/video tips ("Hear how Meena Auntie uses this feature") rather than only text instructions or a generic support bot, and any assisted setup flow (Section 3.1) should explicitly coach the adult child on how to hand over control gradually rather than doing everything for the parent.</w:t>
      </w:r>
    </w:p>
    <w:p w14:paraId="44C4DCED" w14:textId="77777777" w:rsidR="00FE54A7" w:rsidRDefault="00000000">
      <w:pPr>
        <w:spacing w:after="220"/>
      </w:pPr>
      <w:r>
        <w:rPr>
          <w:i/>
          <w:iCs/>
          <w:color w:val="6B7280"/>
          <w:sz w:val="18"/>
          <w:szCs w:val="18"/>
        </w:rPr>
        <w:t>Source: digital-start.org, 'Empowering Seniors in the Digital Age' — peer-to-peer learning models and family involvement pitfalls.</w:t>
      </w:r>
    </w:p>
    <w:p w14:paraId="4F5C5759" w14:textId="77777777" w:rsidR="00FE54A7" w:rsidRDefault="00000000">
      <w:pPr>
        <w:pStyle w:val="Heading1"/>
        <w:spacing w:before="400" w:after="200"/>
      </w:pPr>
      <w:bookmarkStart w:id="16" w:name="_Toc239590557"/>
      <w:r>
        <w:t>5. Design System — Senior-Facing Interface</w:t>
      </w:r>
      <w:bookmarkEnd w:id="16"/>
    </w:p>
    <w:p w14:paraId="248FD6B6" w14:textId="77777777" w:rsidR="00FE54A7" w:rsidRDefault="00000000">
      <w:pPr>
        <w:spacing w:after="160"/>
      </w:pPr>
      <w:r>
        <w:t>Every rule below traces back to a finding in Section 4. Nothing here is a stylistic preference; each row states the choice, the aging-related problem it solves, and the study behind it.</w:t>
      </w:r>
    </w:p>
    <w:p w14:paraId="3D2CD4BE" w14:textId="77777777" w:rsidR="00FE54A7" w:rsidRDefault="00000000">
      <w:pPr>
        <w:pStyle w:val="Heading2"/>
        <w:spacing w:before="300" w:after="150"/>
      </w:pPr>
      <w:bookmarkStart w:id="17" w:name="_Toc239590558"/>
      <w:r>
        <w:t>5.1 Typography</w:t>
      </w:r>
      <w:bookmarkEnd w:id="17"/>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400"/>
      </w:tblGrid>
      <w:tr w:rsidR="00FE54A7" w14:paraId="21215C13"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vAlign w:val="center"/>
          </w:tcPr>
          <w:p w14:paraId="7BEA4194" w14:textId="77777777" w:rsidR="00FE54A7" w:rsidRDefault="00000000">
            <w:r>
              <w:rPr>
                <w:b/>
                <w:bCs/>
                <w:color w:val="FFFFFF"/>
                <w:sz w:val="19"/>
                <w:szCs w:val="19"/>
              </w:rPr>
              <w:t>Design Choice</w:t>
            </w:r>
          </w:p>
        </w:tc>
        <w:tc>
          <w:tcPr>
            <w:tcW w:w="3600" w:type="dxa"/>
            <w:shd w:val="clear" w:color="auto" w:fill="1F2937"/>
            <w:tcMar>
              <w:top w:w="80" w:type="dxa"/>
              <w:left w:w="100" w:type="dxa"/>
              <w:bottom w:w="80" w:type="dxa"/>
              <w:right w:w="100" w:type="dxa"/>
            </w:tcMar>
            <w:vAlign w:val="center"/>
          </w:tcPr>
          <w:p w14:paraId="64E2D2AF" w14:textId="77777777" w:rsidR="00FE54A7" w:rsidRDefault="00000000">
            <w:r>
              <w:rPr>
                <w:b/>
                <w:bCs/>
                <w:color w:val="FFFFFF"/>
                <w:sz w:val="19"/>
                <w:szCs w:val="19"/>
              </w:rPr>
              <w:t>Why (Aging Factor Addressed)</w:t>
            </w:r>
          </w:p>
        </w:tc>
        <w:tc>
          <w:tcPr>
            <w:tcW w:w="2400" w:type="dxa"/>
            <w:shd w:val="clear" w:color="auto" w:fill="1F2937"/>
            <w:tcMar>
              <w:top w:w="80" w:type="dxa"/>
              <w:left w:w="100" w:type="dxa"/>
              <w:bottom w:w="80" w:type="dxa"/>
              <w:right w:w="100" w:type="dxa"/>
            </w:tcMar>
            <w:vAlign w:val="center"/>
          </w:tcPr>
          <w:p w14:paraId="6CB97098" w14:textId="77777777" w:rsidR="00FE54A7" w:rsidRDefault="00000000">
            <w:r>
              <w:rPr>
                <w:b/>
                <w:bCs/>
                <w:color w:val="FFFFFF"/>
                <w:sz w:val="19"/>
                <w:szCs w:val="19"/>
              </w:rPr>
              <w:t>Study / Source</w:t>
            </w:r>
          </w:p>
        </w:tc>
      </w:tr>
      <w:tr w:rsidR="00FE54A7" w14:paraId="7A78D097" w14:textId="77777777">
        <w:tblPrEx>
          <w:tblCellMar>
            <w:top w:w="0" w:type="dxa"/>
            <w:bottom w:w="0" w:type="dxa"/>
          </w:tblCellMar>
        </w:tblPrEx>
        <w:tc>
          <w:tcPr>
            <w:tcW w:w="2600" w:type="dxa"/>
            <w:shd w:val="clear" w:color="auto" w:fill="F9FAFB"/>
            <w:tcMar>
              <w:top w:w="80" w:type="dxa"/>
              <w:left w:w="100" w:type="dxa"/>
              <w:bottom w:w="80" w:type="dxa"/>
              <w:right w:w="100" w:type="dxa"/>
            </w:tcMar>
            <w:vAlign w:val="center"/>
          </w:tcPr>
          <w:p w14:paraId="17D60B43" w14:textId="77777777" w:rsidR="00FE54A7" w:rsidRDefault="00000000">
            <w:r>
              <w:rPr>
                <w:sz w:val="19"/>
                <w:szCs w:val="19"/>
              </w:rPr>
              <w:t>Sans-serif typeface only (e.g., a humanist sans; Atkinson Hyperlegible is a strong option, purpose-built for low-vision readers)</w:t>
            </w:r>
          </w:p>
        </w:tc>
        <w:tc>
          <w:tcPr>
            <w:tcW w:w="3600" w:type="dxa"/>
            <w:shd w:val="clear" w:color="auto" w:fill="F9FAFB"/>
            <w:tcMar>
              <w:top w:w="80" w:type="dxa"/>
              <w:left w:w="100" w:type="dxa"/>
              <w:bottom w:w="80" w:type="dxa"/>
              <w:right w:w="100" w:type="dxa"/>
            </w:tcMar>
            <w:vAlign w:val="center"/>
          </w:tcPr>
          <w:p w14:paraId="097AD253" w14:textId="77777777" w:rsidR="00FE54A7" w:rsidRDefault="00000000">
            <w:r>
              <w:rPr>
                <w:sz w:val="19"/>
                <w:szCs w:val="19"/>
              </w:rPr>
              <w:t>Serif details (small strokes, thin joins) are harder to resolve as contrast sensitivity and visual acuity decline</w:t>
            </w:r>
          </w:p>
        </w:tc>
        <w:tc>
          <w:tcPr>
            <w:tcW w:w="2400" w:type="dxa"/>
            <w:shd w:val="clear" w:color="auto" w:fill="F9FAFB"/>
            <w:tcMar>
              <w:top w:w="80" w:type="dxa"/>
              <w:left w:w="100" w:type="dxa"/>
              <w:bottom w:w="80" w:type="dxa"/>
              <w:right w:w="100" w:type="dxa"/>
            </w:tcMar>
            <w:vAlign w:val="center"/>
          </w:tcPr>
          <w:p w14:paraId="47E36A7B" w14:textId="77777777" w:rsidR="00FE54A7" w:rsidRDefault="00000000">
            <w:r>
              <w:rPr>
                <w:sz w:val="19"/>
                <w:szCs w:val="19"/>
              </w:rPr>
              <w:t>UX Design Checklist for Older Audiences (Atkinson Hyperlegible, Braille Institute); ACM 'Design for Older People' (2026) — sans-serif preference in senior mobile-app studies</w:t>
            </w:r>
          </w:p>
        </w:tc>
      </w:tr>
      <w:tr w:rsidR="00FE54A7" w14:paraId="61581EE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7E71DE1" w14:textId="77777777" w:rsidR="00FE54A7" w:rsidRDefault="00000000">
            <w:r>
              <w:rPr>
                <w:sz w:val="19"/>
                <w:szCs w:val="19"/>
              </w:rPr>
              <w:t>Minimum 16pt / 16px body text as the default (not the reduced size), with an in-app text-size slider going larger</w:t>
            </w:r>
          </w:p>
        </w:tc>
        <w:tc>
          <w:tcPr>
            <w:tcW w:w="3600" w:type="dxa"/>
            <w:shd w:val="clear" w:color="auto" w:fill="FFFFFF"/>
            <w:tcMar>
              <w:top w:w="80" w:type="dxa"/>
              <w:left w:w="100" w:type="dxa"/>
              <w:bottom w:w="80" w:type="dxa"/>
              <w:right w:w="100" w:type="dxa"/>
            </w:tcMar>
            <w:vAlign w:val="center"/>
          </w:tcPr>
          <w:p w14:paraId="4871FF4E" w14:textId="77777777" w:rsidR="00FE54A7" w:rsidRDefault="00000000">
            <w:r>
              <w:rPr>
                <w:sz w:val="19"/>
                <w:szCs w:val="19"/>
              </w:rPr>
              <w:t>Multiple senior-specific studies recommend far above the general 12pt web minimum; ranges cited go up to 20–30pt for critical text</w:t>
            </w:r>
          </w:p>
        </w:tc>
        <w:tc>
          <w:tcPr>
            <w:tcW w:w="2400" w:type="dxa"/>
            <w:shd w:val="clear" w:color="auto" w:fill="FFFFFF"/>
            <w:tcMar>
              <w:top w:w="80" w:type="dxa"/>
              <w:left w:w="100" w:type="dxa"/>
              <w:bottom w:w="80" w:type="dxa"/>
              <w:right w:w="100" w:type="dxa"/>
            </w:tcMar>
            <w:vAlign w:val="center"/>
          </w:tcPr>
          <w:p w14:paraId="585C2083" w14:textId="77777777" w:rsidR="00FE54A7" w:rsidRDefault="00000000">
            <w:r>
              <w:rPr>
                <w:sz w:val="19"/>
                <w:szCs w:val="19"/>
              </w:rPr>
              <w:t>Toptal / Adchitects interface guides (16px minimum, go higher); JMIR mHealth review (Morey et al. recommend 30pt for critical text, 20pt secondary); Frontiers in Psychology systematic review on font size for older adults on mobile</w:t>
            </w:r>
          </w:p>
        </w:tc>
      </w:tr>
      <w:tr w:rsidR="00FE54A7" w14:paraId="31F2A87A" w14:textId="77777777">
        <w:tblPrEx>
          <w:tblCellMar>
            <w:top w:w="0" w:type="dxa"/>
            <w:bottom w:w="0" w:type="dxa"/>
          </w:tblCellMar>
        </w:tblPrEx>
        <w:tc>
          <w:tcPr>
            <w:tcW w:w="2600" w:type="dxa"/>
            <w:shd w:val="clear" w:color="auto" w:fill="F9FAFB"/>
            <w:tcMar>
              <w:top w:w="80" w:type="dxa"/>
              <w:left w:w="100" w:type="dxa"/>
              <w:bottom w:w="80" w:type="dxa"/>
              <w:right w:w="100" w:type="dxa"/>
            </w:tcMar>
            <w:vAlign w:val="center"/>
          </w:tcPr>
          <w:p w14:paraId="0CA556B0" w14:textId="77777777" w:rsidR="00FE54A7" w:rsidRDefault="00000000">
            <w:r>
              <w:rPr>
                <w:sz w:val="19"/>
                <w:szCs w:val="19"/>
              </w:rPr>
              <w:t>Adjustable text size exposed as a simple, prominent in-app control — not buried in device settings</w:t>
            </w:r>
          </w:p>
        </w:tc>
        <w:tc>
          <w:tcPr>
            <w:tcW w:w="3600" w:type="dxa"/>
            <w:shd w:val="clear" w:color="auto" w:fill="F9FAFB"/>
            <w:tcMar>
              <w:top w:w="80" w:type="dxa"/>
              <w:left w:w="100" w:type="dxa"/>
              <w:bottom w:w="80" w:type="dxa"/>
              <w:right w:w="100" w:type="dxa"/>
            </w:tcMar>
            <w:vAlign w:val="center"/>
          </w:tcPr>
          <w:p w14:paraId="3DFB5336" w14:textId="77777777" w:rsidR="00FE54A7" w:rsidRDefault="00000000">
            <w:r>
              <w:rPr>
                <w:sz w:val="19"/>
                <w:szCs w:val="19"/>
              </w:rPr>
              <w:t>Individual variation in vision loss is high; a fixed 'senior mode' imposing one size on everyone is explicitly discouraged in the literature</w:t>
            </w:r>
          </w:p>
        </w:tc>
        <w:tc>
          <w:tcPr>
            <w:tcW w:w="2400" w:type="dxa"/>
            <w:shd w:val="clear" w:color="auto" w:fill="F9FAFB"/>
            <w:tcMar>
              <w:top w:w="80" w:type="dxa"/>
              <w:left w:w="100" w:type="dxa"/>
              <w:bottom w:w="80" w:type="dxa"/>
              <w:right w:w="100" w:type="dxa"/>
            </w:tcMar>
            <w:vAlign w:val="center"/>
          </w:tcPr>
          <w:p w14:paraId="6DB41E13" w14:textId="77777777" w:rsidR="00FE54A7" w:rsidRDefault="00000000">
            <w:r>
              <w:rPr>
                <w:sz w:val="19"/>
                <w:szCs w:val="19"/>
              </w:rPr>
              <w:t>ACM 'Design for Older People' (2026) — 'personalized settings' as a named finding</w:t>
            </w:r>
          </w:p>
        </w:tc>
      </w:tr>
      <w:tr w:rsidR="00FE54A7" w14:paraId="3CD46F8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536279D" w14:textId="77777777" w:rsidR="00FE54A7" w:rsidRDefault="00000000">
            <w:r>
              <w:rPr>
                <w:sz w:val="19"/>
                <w:szCs w:val="19"/>
              </w:rPr>
              <w:t>Plain, familiar vocabulary; technical/English-loanword UI terms defined in place or avoided entirely</w:t>
            </w:r>
          </w:p>
        </w:tc>
        <w:tc>
          <w:tcPr>
            <w:tcW w:w="3600" w:type="dxa"/>
            <w:shd w:val="clear" w:color="auto" w:fill="FFFFFF"/>
            <w:tcMar>
              <w:top w:w="80" w:type="dxa"/>
              <w:left w:w="100" w:type="dxa"/>
              <w:bottom w:w="80" w:type="dxa"/>
              <w:right w:w="100" w:type="dxa"/>
            </w:tcMar>
            <w:vAlign w:val="center"/>
          </w:tcPr>
          <w:p w14:paraId="499A7CF7" w14:textId="77777777" w:rsidR="00FE54A7" w:rsidRDefault="00000000">
            <w:r>
              <w:rPr>
                <w:sz w:val="19"/>
                <w:szCs w:val="19"/>
              </w:rPr>
              <w:t>Crystallized intelligence (vocabulary, familiar concepts) stays strong with age, but unfamiliar technical jargon is a fluid-intelligence task the user hasn't practiced</w:t>
            </w:r>
          </w:p>
        </w:tc>
        <w:tc>
          <w:tcPr>
            <w:tcW w:w="2400" w:type="dxa"/>
            <w:shd w:val="clear" w:color="auto" w:fill="FFFFFF"/>
            <w:tcMar>
              <w:top w:w="80" w:type="dxa"/>
              <w:left w:w="100" w:type="dxa"/>
              <w:bottom w:w="80" w:type="dxa"/>
              <w:right w:w="100" w:type="dxa"/>
            </w:tcMar>
            <w:vAlign w:val="center"/>
          </w:tcPr>
          <w:p w14:paraId="46B8DBC8" w14:textId="77777777" w:rsidR="00FE54A7" w:rsidRDefault="00000000">
            <w:r>
              <w:rPr>
                <w:sz w:val="19"/>
                <w:szCs w:val="19"/>
              </w:rPr>
              <w:t>NNG, 'Define Techy Terms for Older Users'; BrainHQ on fluid vs. crystallized intelligence</w:t>
            </w:r>
          </w:p>
        </w:tc>
      </w:tr>
    </w:tbl>
    <w:p w14:paraId="3CC69EA0" w14:textId="77777777" w:rsidR="00FE54A7" w:rsidRDefault="00FE54A7">
      <w:pPr>
        <w:spacing w:after="200"/>
      </w:pPr>
    </w:p>
    <w:p w14:paraId="2AC03625" w14:textId="77777777" w:rsidR="00FE54A7" w:rsidRDefault="00000000">
      <w:pPr>
        <w:pStyle w:val="Heading2"/>
        <w:spacing w:before="300" w:after="150"/>
      </w:pPr>
      <w:bookmarkStart w:id="18" w:name="_Toc239590559"/>
      <w:r>
        <w:t>5.2 Color &amp; Contrast</w:t>
      </w:r>
      <w:bookmarkEnd w:id="18"/>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400"/>
      </w:tblGrid>
      <w:tr w:rsidR="00FE54A7" w14:paraId="6EEB1A9B"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vAlign w:val="center"/>
          </w:tcPr>
          <w:p w14:paraId="2AE9F100" w14:textId="77777777" w:rsidR="00FE54A7" w:rsidRDefault="00000000">
            <w:r>
              <w:rPr>
                <w:b/>
                <w:bCs/>
                <w:color w:val="FFFFFF"/>
                <w:sz w:val="19"/>
                <w:szCs w:val="19"/>
              </w:rPr>
              <w:t>Design Choice</w:t>
            </w:r>
          </w:p>
        </w:tc>
        <w:tc>
          <w:tcPr>
            <w:tcW w:w="3600" w:type="dxa"/>
            <w:shd w:val="clear" w:color="auto" w:fill="1F2937"/>
            <w:tcMar>
              <w:top w:w="80" w:type="dxa"/>
              <w:left w:w="100" w:type="dxa"/>
              <w:bottom w:w="80" w:type="dxa"/>
              <w:right w:w="100" w:type="dxa"/>
            </w:tcMar>
            <w:vAlign w:val="center"/>
          </w:tcPr>
          <w:p w14:paraId="6BCF5262" w14:textId="77777777" w:rsidR="00FE54A7" w:rsidRDefault="00000000">
            <w:r>
              <w:rPr>
                <w:b/>
                <w:bCs/>
                <w:color w:val="FFFFFF"/>
                <w:sz w:val="19"/>
                <w:szCs w:val="19"/>
              </w:rPr>
              <w:t>Why (Aging Factor Addressed)</w:t>
            </w:r>
          </w:p>
        </w:tc>
        <w:tc>
          <w:tcPr>
            <w:tcW w:w="2400" w:type="dxa"/>
            <w:shd w:val="clear" w:color="auto" w:fill="1F2937"/>
            <w:tcMar>
              <w:top w:w="80" w:type="dxa"/>
              <w:left w:w="100" w:type="dxa"/>
              <w:bottom w:w="80" w:type="dxa"/>
              <w:right w:w="100" w:type="dxa"/>
            </w:tcMar>
            <w:vAlign w:val="center"/>
          </w:tcPr>
          <w:p w14:paraId="0B985B16" w14:textId="77777777" w:rsidR="00FE54A7" w:rsidRDefault="00000000">
            <w:r>
              <w:rPr>
                <w:b/>
                <w:bCs/>
                <w:color w:val="FFFFFF"/>
                <w:sz w:val="19"/>
                <w:szCs w:val="19"/>
              </w:rPr>
              <w:t>Study / Source</w:t>
            </w:r>
          </w:p>
        </w:tc>
      </w:tr>
      <w:tr w:rsidR="00FE54A7" w14:paraId="3DD5B072" w14:textId="77777777">
        <w:tblPrEx>
          <w:tblCellMar>
            <w:top w:w="0" w:type="dxa"/>
            <w:bottom w:w="0" w:type="dxa"/>
          </w:tblCellMar>
        </w:tblPrEx>
        <w:tc>
          <w:tcPr>
            <w:tcW w:w="2600" w:type="dxa"/>
            <w:shd w:val="clear" w:color="auto" w:fill="F9FAFB"/>
            <w:tcMar>
              <w:top w:w="80" w:type="dxa"/>
              <w:left w:w="100" w:type="dxa"/>
              <w:bottom w:w="80" w:type="dxa"/>
              <w:right w:w="100" w:type="dxa"/>
            </w:tcMar>
            <w:vAlign w:val="center"/>
          </w:tcPr>
          <w:p w14:paraId="4C688E50" w14:textId="77777777" w:rsidR="00FE54A7" w:rsidRDefault="00000000">
            <w:r>
              <w:rPr>
                <w:sz w:val="19"/>
                <w:szCs w:val="19"/>
              </w:rPr>
              <w:t xml:space="preserve">High-contrast palette: near-black text on a warm off-white </w:t>
            </w:r>
            <w:r>
              <w:rPr>
                <w:sz w:val="19"/>
                <w:szCs w:val="19"/>
              </w:rPr>
              <w:lastRenderedPageBreak/>
              <w:t>background (not stark blue-white)</w:t>
            </w:r>
          </w:p>
        </w:tc>
        <w:tc>
          <w:tcPr>
            <w:tcW w:w="3600" w:type="dxa"/>
            <w:shd w:val="clear" w:color="auto" w:fill="F9FAFB"/>
            <w:tcMar>
              <w:top w:w="80" w:type="dxa"/>
              <w:left w:w="100" w:type="dxa"/>
              <w:bottom w:w="80" w:type="dxa"/>
              <w:right w:w="100" w:type="dxa"/>
            </w:tcMar>
            <w:vAlign w:val="center"/>
          </w:tcPr>
          <w:p w14:paraId="62288361" w14:textId="77777777" w:rsidR="00FE54A7" w:rsidRDefault="00000000">
            <w:r>
              <w:rPr>
                <w:sz w:val="19"/>
                <w:szCs w:val="19"/>
              </w:rPr>
              <w:lastRenderedPageBreak/>
              <w:t xml:space="preserve">Lens yellowing makes stark white appear washed out/glary; warm off-white is </w:t>
            </w:r>
            <w:r>
              <w:rPr>
                <w:sz w:val="19"/>
                <w:szCs w:val="19"/>
              </w:rPr>
              <w:lastRenderedPageBreak/>
              <w:t>perceived more comfortably while preserving contrast</w:t>
            </w:r>
          </w:p>
        </w:tc>
        <w:tc>
          <w:tcPr>
            <w:tcW w:w="2400" w:type="dxa"/>
            <w:shd w:val="clear" w:color="auto" w:fill="F9FAFB"/>
            <w:tcMar>
              <w:top w:w="80" w:type="dxa"/>
              <w:left w:w="100" w:type="dxa"/>
              <w:bottom w:w="80" w:type="dxa"/>
              <w:right w:w="100" w:type="dxa"/>
            </w:tcMar>
            <w:vAlign w:val="center"/>
          </w:tcPr>
          <w:p w14:paraId="474504CB" w14:textId="77777777" w:rsidR="00FE54A7" w:rsidRDefault="00000000">
            <w:r>
              <w:rPr>
                <w:sz w:val="19"/>
                <w:szCs w:val="19"/>
              </w:rPr>
              <w:lastRenderedPageBreak/>
              <w:t>Sherwin-Williams / Schneck, 'Color Perception and the Aging Eye'</w:t>
            </w:r>
          </w:p>
        </w:tc>
      </w:tr>
      <w:tr w:rsidR="00FE54A7" w14:paraId="7E9589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9DED0F1" w14:textId="77777777" w:rsidR="00FE54A7" w:rsidRDefault="00000000">
            <w:r>
              <w:rPr>
                <w:sz w:val="19"/>
                <w:szCs w:val="19"/>
              </w:rPr>
              <w:t>Avoid blue-vs-green as the sole distinction between two interactive states; use deep, saturated blue rather than pale blue if blue is used at all</w:t>
            </w:r>
          </w:p>
        </w:tc>
        <w:tc>
          <w:tcPr>
            <w:tcW w:w="3600" w:type="dxa"/>
            <w:shd w:val="clear" w:color="auto" w:fill="FFFFFF"/>
            <w:tcMar>
              <w:top w:w="80" w:type="dxa"/>
              <w:left w:w="100" w:type="dxa"/>
              <w:bottom w:w="80" w:type="dxa"/>
              <w:right w:w="100" w:type="dxa"/>
            </w:tcMar>
            <w:vAlign w:val="center"/>
          </w:tcPr>
          <w:p w14:paraId="04028AFE" w14:textId="77777777" w:rsidR="00FE54A7" w:rsidRDefault="00000000">
            <w:r>
              <w:rPr>
                <w:sz w:val="19"/>
                <w:szCs w:val="19"/>
              </w:rPr>
              <w:t>Yellow-blue discrimination specifically declines with age (more than red-green), and pale/grayed blues appear darker and duller to older eyes</w:t>
            </w:r>
          </w:p>
        </w:tc>
        <w:tc>
          <w:tcPr>
            <w:tcW w:w="2400" w:type="dxa"/>
            <w:shd w:val="clear" w:color="auto" w:fill="FFFFFF"/>
            <w:tcMar>
              <w:top w:w="80" w:type="dxa"/>
              <w:left w:w="100" w:type="dxa"/>
              <w:bottom w:w="80" w:type="dxa"/>
              <w:right w:w="100" w:type="dxa"/>
            </w:tcMar>
            <w:vAlign w:val="center"/>
          </w:tcPr>
          <w:p w14:paraId="709AD2CA" w14:textId="77777777" w:rsidR="00FE54A7" w:rsidRDefault="00000000">
            <w:r>
              <w:rPr>
                <w:sz w:val="19"/>
                <w:szCs w:val="19"/>
              </w:rPr>
              <w:t>NCBI, 'Age-related changes in visual search' (Knoblauch et al.); Sherwin-Williams color-aging application notes</w:t>
            </w:r>
          </w:p>
        </w:tc>
      </w:tr>
      <w:tr w:rsidR="00FE54A7" w14:paraId="2A7E4285" w14:textId="77777777">
        <w:tblPrEx>
          <w:tblCellMar>
            <w:top w:w="0" w:type="dxa"/>
            <w:bottom w:w="0" w:type="dxa"/>
          </w:tblCellMar>
        </w:tblPrEx>
        <w:tc>
          <w:tcPr>
            <w:tcW w:w="2600" w:type="dxa"/>
            <w:shd w:val="clear" w:color="auto" w:fill="F9FAFB"/>
            <w:tcMar>
              <w:top w:w="80" w:type="dxa"/>
              <w:left w:w="100" w:type="dxa"/>
              <w:bottom w:w="80" w:type="dxa"/>
              <w:right w:w="100" w:type="dxa"/>
            </w:tcMar>
            <w:vAlign w:val="center"/>
          </w:tcPr>
          <w:p w14:paraId="49BB0A5C" w14:textId="77777777" w:rsidR="00FE54A7" w:rsidRDefault="00000000">
            <w:r>
              <w:rPr>
                <w:sz w:val="19"/>
                <w:szCs w:val="19"/>
              </w:rPr>
              <w:t>Never use color as the only signal (e.g., red text alone for 'urgent') — always pair with an icon and a word</w:t>
            </w:r>
          </w:p>
        </w:tc>
        <w:tc>
          <w:tcPr>
            <w:tcW w:w="3600" w:type="dxa"/>
            <w:shd w:val="clear" w:color="auto" w:fill="F9FAFB"/>
            <w:tcMar>
              <w:top w:w="80" w:type="dxa"/>
              <w:left w:w="100" w:type="dxa"/>
              <w:bottom w:w="80" w:type="dxa"/>
              <w:right w:w="100" w:type="dxa"/>
            </w:tcMar>
            <w:vAlign w:val="center"/>
          </w:tcPr>
          <w:p w14:paraId="278954FF" w14:textId="77777777" w:rsidR="00FE54A7" w:rsidRDefault="00000000">
            <w:r>
              <w:rPr>
                <w:sz w:val="19"/>
                <w:szCs w:val="19"/>
              </w:rPr>
              <w:t>Same yellow-blue/contrast-sensitivity limitations mean color-only cues fail silently for a meaningful share of this user base</w:t>
            </w:r>
          </w:p>
        </w:tc>
        <w:tc>
          <w:tcPr>
            <w:tcW w:w="2400" w:type="dxa"/>
            <w:shd w:val="clear" w:color="auto" w:fill="F9FAFB"/>
            <w:tcMar>
              <w:top w:w="80" w:type="dxa"/>
              <w:left w:w="100" w:type="dxa"/>
              <w:bottom w:w="80" w:type="dxa"/>
              <w:right w:w="100" w:type="dxa"/>
            </w:tcMar>
            <w:vAlign w:val="center"/>
          </w:tcPr>
          <w:p w14:paraId="5A8E91DA" w14:textId="77777777" w:rsidR="00FE54A7" w:rsidRDefault="00000000">
            <w:r>
              <w:rPr>
                <w:sz w:val="19"/>
                <w:szCs w:val="19"/>
              </w:rPr>
              <w:t>GerontoVis (arXiv, 2024); AufaitUX elder-friendly UI guide</w:t>
            </w:r>
          </w:p>
        </w:tc>
      </w:tr>
      <w:tr w:rsidR="00FE54A7" w14:paraId="6755DC3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8CAB87D" w14:textId="77777777" w:rsidR="00FE54A7" w:rsidRDefault="00000000">
            <w:r>
              <w:rPr>
                <w:sz w:val="19"/>
                <w:szCs w:val="19"/>
              </w:rPr>
              <w:t>Design and QA every screen at higher brightness/contrast settings than a younger designer would default to</w:t>
            </w:r>
          </w:p>
        </w:tc>
        <w:tc>
          <w:tcPr>
            <w:tcW w:w="3600" w:type="dxa"/>
            <w:shd w:val="clear" w:color="auto" w:fill="FFFFFF"/>
            <w:tcMar>
              <w:top w:w="80" w:type="dxa"/>
              <w:left w:w="100" w:type="dxa"/>
              <w:bottom w:w="80" w:type="dxa"/>
              <w:right w:w="100" w:type="dxa"/>
            </w:tcMar>
            <w:vAlign w:val="center"/>
          </w:tcPr>
          <w:p w14:paraId="24147AE3" w14:textId="77777777" w:rsidR="00FE54A7" w:rsidRDefault="00000000">
            <w:r>
              <w:rPr>
                <w:sz w:val="19"/>
                <w:szCs w:val="19"/>
              </w:rPr>
              <w:t>Older adults require roughly 3x more light than younger adults to see equally well; testing only under standard studio lighting under-represents real usage</w:t>
            </w:r>
          </w:p>
        </w:tc>
        <w:tc>
          <w:tcPr>
            <w:tcW w:w="2400" w:type="dxa"/>
            <w:shd w:val="clear" w:color="auto" w:fill="FFFFFF"/>
            <w:tcMar>
              <w:top w:w="80" w:type="dxa"/>
              <w:left w:w="100" w:type="dxa"/>
              <w:bottom w:w="80" w:type="dxa"/>
              <w:right w:w="100" w:type="dxa"/>
            </w:tcMar>
            <w:vAlign w:val="center"/>
          </w:tcPr>
          <w:p w14:paraId="40BB2A63" w14:textId="77777777" w:rsidR="00FE54A7" w:rsidRDefault="00000000">
            <w:r>
              <w:rPr>
                <w:sz w:val="19"/>
                <w:szCs w:val="19"/>
              </w:rPr>
              <w:t>UX Design for Older Audiences checklist (Braille Institute / general aging-vision literature)</w:t>
            </w:r>
          </w:p>
        </w:tc>
      </w:tr>
    </w:tbl>
    <w:p w14:paraId="63EE62C0" w14:textId="77777777" w:rsidR="00FE54A7" w:rsidRDefault="00FE54A7">
      <w:pPr>
        <w:spacing w:after="200"/>
      </w:pPr>
    </w:p>
    <w:p w14:paraId="4B4F5D1B" w14:textId="77777777" w:rsidR="00FE54A7" w:rsidRDefault="00000000">
      <w:pPr>
        <w:pStyle w:val="Heading2"/>
        <w:spacing w:before="300" w:after="150"/>
      </w:pPr>
      <w:bookmarkStart w:id="19" w:name="_Toc239590560"/>
      <w:r>
        <w:t>5.3 Touch Targets, Spacing &amp; Layout</w:t>
      </w:r>
      <w:bookmarkEnd w:id="19"/>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400"/>
      </w:tblGrid>
      <w:tr w:rsidR="00FE54A7" w14:paraId="685CD8E1"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vAlign w:val="center"/>
          </w:tcPr>
          <w:p w14:paraId="3EB3AA3A" w14:textId="77777777" w:rsidR="00FE54A7" w:rsidRDefault="00000000">
            <w:r>
              <w:rPr>
                <w:b/>
                <w:bCs/>
                <w:color w:val="FFFFFF"/>
                <w:sz w:val="19"/>
                <w:szCs w:val="19"/>
              </w:rPr>
              <w:t>Design Choice</w:t>
            </w:r>
          </w:p>
        </w:tc>
        <w:tc>
          <w:tcPr>
            <w:tcW w:w="3600" w:type="dxa"/>
            <w:shd w:val="clear" w:color="auto" w:fill="1F2937"/>
            <w:tcMar>
              <w:top w:w="80" w:type="dxa"/>
              <w:left w:w="100" w:type="dxa"/>
              <w:bottom w:w="80" w:type="dxa"/>
              <w:right w:w="100" w:type="dxa"/>
            </w:tcMar>
            <w:vAlign w:val="center"/>
          </w:tcPr>
          <w:p w14:paraId="0D964F9C" w14:textId="77777777" w:rsidR="00FE54A7" w:rsidRDefault="00000000">
            <w:r>
              <w:rPr>
                <w:b/>
                <w:bCs/>
                <w:color w:val="FFFFFF"/>
                <w:sz w:val="19"/>
                <w:szCs w:val="19"/>
              </w:rPr>
              <w:t>Why (Aging Factor Addressed)</w:t>
            </w:r>
          </w:p>
        </w:tc>
        <w:tc>
          <w:tcPr>
            <w:tcW w:w="2400" w:type="dxa"/>
            <w:shd w:val="clear" w:color="auto" w:fill="1F2937"/>
            <w:tcMar>
              <w:top w:w="80" w:type="dxa"/>
              <w:left w:w="100" w:type="dxa"/>
              <w:bottom w:w="80" w:type="dxa"/>
              <w:right w:w="100" w:type="dxa"/>
            </w:tcMar>
            <w:vAlign w:val="center"/>
          </w:tcPr>
          <w:p w14:paraId="5A78D3A9" w14:textId="77777777" w:rsidR="00FE54A7" w:rsidRDefault="00000000">
            <w:r>
              <w:rPr>
                <w:b/>
                <w:bCs/>
                <w:color w:val="FFFFFF"/>
                <w:sz w:val="19"/>
                <w:szCs w:val="19"/>
              </w:rPr>
              <w:t>Study / Source</w:t>
            </w:r>
          </w:p>
        </w:tc>
      </w:tr>
      <w:tr w:rsidR="00FE54A7" w14:paraId="0DF5E090" w14:textId="77777777">
        <w:tblPrEx>
          <w:tblCellMar>
            <w:top w:w="0" w:type="dxa"/>
            <w:bottom w:w="0" w:type="dxa"/>
          </w:tblCellMar>
        </w:tblPrEx>
        <w:tc>
          <w:tcPr>
            <w:tcW w:w="2600" w:type="dxa"/>
            <w:shd w:val="clear" w:color="auto" w:fill="F9FAFB"/>
            <w:tcMar>
              <w:top w:w="80" w:type="dxa"/>
              <w:left w:w="100" w:type="dxa"/>
              <w:bottom w:w="80" w:type="dxa"/>
              <w:right w:w="100" w:type="dxa"/>
            </w:tcMar>
            <w:vAlign w:val="center"/>
          </w:tcPr>
          <w:p w14:paraId="4CF90B73" w14:textId="77777777" w:rsidR="00FE54A7" w:rsidRDefault="00000000">
            <w:r>
              <w:rPr>
                <w:sz w:val="19"/>
                <w:szCs w:val="19"/>
              </w:rPr>
              <w:t>Primary buttons at minimum 44×44px, with senior-specific guidance treating this as a floor and sizing critical actions (SOS, call doctor) noticeably larger</w:t>
            </w:r>
          </w:p>
        </w:tc>
        <w:tc>
          <w:tcPr>
            <w:tcW w:w="3600" w:type="dxa"/>
            <w:shd w:val="clear" w:color="auto" w:fill="F9FAFB"/>
            <w:tcMar>
              <w:top w:w="80" w:type="dxa"/>
              <w:left w:w="100" w:type="dxa"/>
              <w:bottom w:w="80" w:type="dxa"/>
              <w:right w:w="100" w:type="dxa"/>
            </w:tcMar>
            <w:vAlign w:val="center"/>
          </w:tcPr>
          <w:p w14:paraId="09392135" w14:textId="77777777" w:rsidR="00FE54A7" w:rsidRDefault="00000000">
            <w:r>
              <w:rPr>
                <w:sz w:val="19"/>
                <w:szCs w:val="19"/>
              </w:rPr>
              <w:t>Reduced grip strength, joint stiffness, and tremor make small targets a leading physical (not cognitive) cause of failed taps</w:t>
            </w:r>
          </w:p>
        </w:tc>
        <w:tc>
          <w:tcPr>
            <w:tcW w:w="2400" w:type="dxa"/>
            <w:shd w:val="clear" w:color="auto" w:fill="F9FAFB"/>
            <w:tcMar>
              <w:top w:w="80" w:type="dxa"/>
              <w:left w:w="100" w:type="dxa"/>
              <w:bottom w:w="80" w:type="dxa"/>
              <w:right w:w="100" w:type="dxa"/>
            </w:tcMar>
            <w:vAlign w:val="center"/>
          </w:tcPr>
          <w:p w14:paraId="6FBBAD57" w14:textId="77777777" w:rsidR="00FE54A7" w:rsidRDefault="00000000">
            <w:r>
              <w:rPr>
                <w:sz w:val="19"/>
                <w:szCs w:val="19"/>
              </w:rPr>
              <w:t>AufaitUX (44×44px Google standard cited as baseline); Toptal interface guide (treat minimums as absolute floor for older users)</w:t>
            </w:r>
          </w:p>
        </w:tc>
      </w:tr>
      <w:tr w:rsidR="00FE54A7" w14:paraId="5A26D5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CB4B4D4" w14:textId="77777777" w:rsidR="00FE54A7" w:rsidRDefault="00000000">
            <w:r>
              <w:rPr>
                <w:sz w:val="19"/>
                <w:szCs w:val="19"/>
              </w:rPr>
              <w:t>Generous spacing between adjacent tappable elements, especially around any irreversible action</w:t>
            </w:r>
          </w:p>
        </w:tc>
        <w:tc>
          <w:tcPr>
            <w:tcW w:w="3600" w:type="dxa"/>
            <w:shd w:val="clear" w:color="auto" w:fill="FFFFFF"/>
            <w:tcMar>
              <w:top w:w="80" w:type="dxa"/>
              <w:left w:w="100" w:type="dxa"/>
              <w:bottom w:w="80" w:type="dxa"/>
              <w:right w:w="100" w:type="dxa"/>
            </w:tcMar>
            <w:vAlign w:val="center"/>
          </w:tcPr>
          <w:p w14:paraId="2B89EB8E" w14:textId="77777777" w:rsidR="00FE54A7" w:rsidRDefault="00000000">
            <w:r>
              <w:rPr>
                <w:sz w:val="19"/>
                <w:szCs w:val="19"/>
              </w:rPr>
              <w:t>Prevents accidental taps on the wrong control, which directly feeds fear-of-breaking-something anxiety</w:t>
            </w:r>
          </w:p>
        </w:tc>
        <w:tc>
          <w:tcPr>
            <w:tcW w:w="2400" w:type="dxa"/>
            <w:shd w:val="clear" w:color="auto" w:fill="FFFFFF"/>
            <w:tcMar>
              <w:top w:w="80" w:type="dxa"/>
              <w:left w:w="100" w:type="dxa"/>
              <w:bottom w:w="80" w:type="dxa"/>
              <w:right w:w="100" w:type="dxa"/>
            </w:tcMar>
            <w:vAlign w:val="center"/>
          </w:tcPr>
          <w:p w14:paraId="651E6573" w14:textId="77777777" w:rsidR="00FE54A7" w:rsidRDefault="00000000">
            <w:r>
              <w:rPr>
                <w:sz w:val="19"/>
                <w:szCs w:val="19"/>
              </w:rPr>
              <w:t>Bentley University UX Center, 'Designing Mobile Experiences with Seniors in Mind'</w:t>
            </w:r>
          </w:p>
        </w:tc>
      </w:tr>
      <w:tr w:rsidR="00FE54A7" w14:paraId="0830CFAD" w14:textId="77777777">
        <w:tblPrEx>
          <w:tblCellMar>
            <w:top w:w="0" w:type="dxa"/>
            <w:bottom w:w="0" w:type="dxa"/>
          </w:tblCellMar>
        </w:tblPrEx>
        <w:tc>
          <w:tcPr>
            <w:tcW w:w="2600" w:type="dxa"/>
            <w:shd w:val="clear" w:color="auto" w:fill="F9FAFB"/>
            <w:tcMar>
              <w:top w:w="80" w:type="dxa"/>
              <w:left w:w="100" w:type="dxa"/>
              <w:bottom w:w="80" w:type="dxa"/>
              <w:right w:w="100" w:type="dxa"/>
            </w:tcMar>
            <w:vAlign w:val="center"/>
          </w:tcPr>
          <w:p w14:paraId="1EE5F2D2" w14:textId="77777777" w:rsidR="00FE54A7" w:rsidRDefault="00000000">
            <w:r>
              <w:rPr>
                <w:sz w:val="19"/>
                <w:szCs w:val="19"/>
              </w:rPr>
              <w:t>One primary action per screen; no more than 3–4 options visible on the senior home screen</w:t>
            </w:r>
          </w:p>
        </w:tc>
        <w:tc>
          <w:tcPr>
            <w:tcW w:w="3600" w:type="dxa"/>
            <w:shd w:val="clear" w:color="auto" w:fill="F9FAFB"/>
            <w:tcMar>
              <w:top w:w="80" w:type="dxa"/>
              <w:left w:w="100" w:type="dxa"/>
              <w:bottom w:w="80" w:type="dxa"/>
              <w:right w:w="100" w:type="dxa"/>
            </w:tcMar>
            <w:vAlign w:val="center"/>
          </w:tcPr>
          <w:p w14:paraId="76A11CBB" w14:textId="77777777" w:rsidR="00FE54A7" w:rsidRDefault="00000000">
            <w:r>
              <w:rPr>
                <w:sz w:val="19"/>
                <w:szCs w:val="19"/>
              </w:rPr>
              <w:t>Reduces fluid-intelligence and working-memory load (23% reduction figure) by never requiring the user to compare many options at once</w:t>
            </w:r>
          </w:p>
        </w:tc>
        <w:tc>
          <w:tcPr>
            <w:tcW w:w="2400" w:type="dxa"/>
            <w:shd w:val="clear" w:color="auto" w:fill="F9FAFB"/>
            <w:tcMar>
              <w:top w:w="80" w:type="dxa"/>
              <w:left w:w="100" w:type="dxa"/>
              <w:bottom w:w="80" w:type="dxa"/>
              <w:right w:w="100" w:type="dxa"/>
            </w:tcMar>
            <w:vAlign w:val="center"/>
          </w:tcPr>
          <w:p w14:paraId="1DD825DA" w14:textId="77777777" w:rsidR="00FE54A7" w:rsidRDefault="00000000">
            <w:r>
              <w:rPr>
                <w:sz w:val="19"/>
                <w:szCs w:val="19"/>
              </w:rPr>
              <w:t>PMC, 'Who adapts to whom' (working memory reduction); ACM 'Design for Older People' (simple menu structures reduce cognitive load)</w:t>
            </w:r>
          </w:p>
        </w:tc>
      </w:tr>
      <w:tr w:rsidR="00FE54A7" w14:paraId="5F3C0E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39BCB28" w14:textId="77777777" w:rsidR="00FE54A7" w:rsidRDefault="00000000">
            <w:r>
              <w:rPr>
                <w:sz w:val="19"/>
                <w:szCs w:val="19"/>
              </w:rPr>
              <w:t>Consistent placement of navigation and core buttons across every screen — never move the 'home' or 'help' button</w:t>
            </w:r>
          </w:p>
        </w:tc>
        <w:tc>
          <w:tcPr>
            <w:tcW w:w="3600" w:type="dxa"/>
            <w:shd w:val="clear" w:color="auto" w:fill="FFFFFF"/>
            <w:tcMar>
              <w:top w:w="80" w:type="dxa"/>
              <w:left w:w="100" w:type="dxa"/>
              <w:bottom w:w="80" w:type="dxa"/>
              <w:right w:w="100" w:type="dxa"/>
            </w:tcMar>
            <w:vAlign w:val="center"/>
          </w:tcPr>
          <w:p w14:paraId="1ACD96EC" w14:textId="77777777" w:rsidR="00FE54A7" w:rsidRDefault="00000000">
            <w:r>
              <w:rPr>
                <w:sz w:val="19"/>
                <w:szCs w:val="19"/>
              </w:rPr>
              <w:t>Reduces reliance on fluid intelligence to relearn a layout each session and lets users build a stable habit (a crystallized-intelligence strength)</w:t>
            </w:r>
          </w:p>
        </w:tc>
        <w:tc>
          <w:tcPr>
            <w:tcW w:w="2400" w:type="dxa"/>
            <w:shd w:val="clear" w:color="auto" w:fill="FFFFFF"/>
            <w:tcMar>
              <w:top w:w="80" w:type="dxa"/>
              <w:left w:w="100" w:type="dxa"/>
              <w:bottom w:w="80" w:type="dxa"/>
              <w:right w:w="100" w:type="dxa"/>
            </w:tcMar>
            <w:vAlign w:val="center"/>
          </w:tcPr>
          <w:p w14:paraId="5C23A9F5" w14:textId="77777777" w:rsidR="00FE54A7" w:rsidRDefault="00000000">
            <w:r>
              <w:rPr>
                <w:sz w:val="19"/>
                <w:szCs w:val="19"/>
              </w:rPr>
              <w:t>Bentley University UX Center — design consistency (uniform menu placement) named explicitly as improving senior learning outcomes</w:t>
            </w:r>
          </w:p>
        </w:tc>
      </w:tr>
    </w:tbl>
    <w:p w14:paraId="1DF6873E" w14:textId="77777777" w:rsidR="00FE54A7" w:rsidRDefault="00FE54A7">
      <w:pPr>
        <w:spacing w:after="200"/>
      </w:pPr>
    </w:p>
    <w:p w14:paraId="15AF100C" w14:textId="77777777" w:rsidR="00FE54A7" w:rsidRDefault="00000000">
      <w:pPr>
        <w:pStyle w:val="Heading2"/>
        <w:spacing w:before="300" w:after="150"/>
      </w:pPr>
      <w:bookmarkStart w:id="20" w:name="_Toc239590561"/>
      <w:r>
        <w:t>5.4 Voice, Audio &amp; Alternative Input</w:t>
      </w:r>
      <w:bookmarkEnd w:id="20"/>
    </w:p>
    <w:p w14:paraId="78074A83" w14:textId="77777777" w:rsidR="00FE54A7" w:rsidRDefault="00000000">
      <w:pPr>
        <w:pStyle w:val="ListParagraph"/>
        <w:numPr>
          <w:ilvl w:val="0"/>
          <w:numId w:val="1"/>
        </w:numPr>
        <w:spacing w:after="90"/>
      </w:pPr>
      <w:r>
        <w:t>Every core action (check-in, SOS, calling a contact) should be reachable by voice command or a single large tap — not require typing, since senior smartphone usage studies show video calls and typing-heavy tasks are the least-adopted functions even among smartphone owners in this group.</w:t>
      </w:r>
    </w:p>
    <w:p w14:paraId="4AC27F99" w14:textId="77777777" w:rsidR="00FE54A7" w:rsidRDefault="00000000">
      <w:pPr>
        <w:pStyle w:val="ListParagraph"/>
        <w:numPr>
          <w:ilvl w:val="0"/>
          <w:numId w:val="1"/>
        </w:numPr>
        <w:spacing w:after="90"/>
      </w:pPr>
      <w:r>
        <w:lastRenderedPageBreak/>
        <w:t>Audio confirmation should accompany visual confirmation for key actions (a spoken 'Message sent to your daughter' alongside the on-screen checkmark), since this doubles the channel through which a low-vision or anxious user can confirm success.</w:t>
      </w:r>
    </w:p>
    <w:p w14:paraId="22A5DBBD" w14:textId="77777777" w:rsidR="00FE54A7" w:rsidRDefault="00000000">
      <w:pPr>
        <w:spacing w:after="220"/>
      </w:pPr>
      <w:r>
        <w:rPr>
          <w:i/>
          <w:iCs/>
          <w:color w:val="6B7280"/>
          <w:sz w:val="18"/>
          <w:szCs w:val="18"/>
        </w:rPr>
        <w:t>Source: Springer, senior citizen technology-usage study (Bengaluru) — video calling as the least-used smartphone function among elderly users; ACM 'Design for Older People' — 'voice interactions often desired by older adults with motor impairments.'</w:t>
      </w:r>
    </w:p>
    <w:p w14:paraId="4FEB9C41" w14:textId="77777777" w:rsidR="00FE54A7" w:rsidRDefault="00000000">
      <w:pPr>
        <w:pStyle w:val="Heading2"/>
        <w:spacing w:before="300" w:after="150"/>
      </w:pPr>
      <w:bookmarkStart w:id="21" w:name="_Toc239590562"/>
      <w:r>
        <w:t>5.5 Error Handling &amp; Forgiveness</w:t>
      </w:r>
      <w:bookmarkEnd w:id="21"/>
    </w:p>
    <w:p w14:paraId="1CD6451A" w14:textId="77777777" w:rsidR="00FE54A7" w:rsidRDefault="00000000">
      <w:pPr>
        <w:pStyle w:val="ListParagraph"/>
        <w:numPr>
          <w:ilvl w:val="0"/>
          <w:numId w:val="1"/>
        </w:numPr>
        <w:spacing w:after="90"/>
      </w:pPr>
      <w:r>
        <w:t>Confirmation dialogs (with plain-language explanation, not a generic 'Are you sure?') before any irreversible action.</w:t>
      </w:r>
    </w:p>
    <w:p w14:paraId="6325C7F7" w14:textId="77777777" w:rsidR="00FE54A7" w:rsidRDefault="00000000">
      <w:pPr>
        <w:pStyle w:val="ListParagraph"/>
        <w:numPr>
          <w:ilvl w:val="0"/>
          <w:numId w:val="1"/>
        </w:numPr>
        <w:spacing w:after="90"/>
      </w:pPr>
      <w:r>
        <w:t>Undo options wherever technically feasible, and messaging that reassures the user nothing is broken when an error occurs.</w:t>
      </w:r>
    </w:p>
    <w:p w14:paraId="3B75408C" w14:textId="77777777" w:rsidR="00FE54A7" w:rsidRDefault="00000000">
      <w:pPr>
        <w:pStyle w:val="ListParagraph"/>
        <w:numPr>
          <w:ilvl w:val="0"/>
          <w:numId w:val="1"/>
        </w:numPr>
        <w:spacing w:after="90"/>
      </w:pPr>
      <w:r>
        <w:t>No red error banners with blame language; instead, calm, solution-oriented copy that names the next step.</w:t>
      </w:r>
    </w:p>
    <w:p w14:paraId="1C3A1154" w14:textId="77777777" w:rsidR="00FE54A7" w:rsidRDefault="00000000">
      <w:pPr>
        <w:spacing w:after="220"/>
      </w:pPr>
      <w:r>
        <w:rPr>
          <w:i/>
          <w:iCs/>
          <w:color w:val="6B7280"/>
          <w:sz w:val="18"/>
          <w:szCs w:val="18"/>
        </w:rPr>
        <w:t>Source: JMIR Aging, digital-anxiety-to-empowerment framework (2026); Cadabra Studio, 'UX for Elderly' — error prevention and 'undo' options named as core trust-building mechanisms.</w:t>
      </w:r>
    </w:p>
    <w:p w14:paraId="7AB78E84" w14:textId="77777777" w:rsidR="00FE54A7" w:rsidRDefault="00000000">
      <w:pPr>
        <w:pStyle w:val="Heading2"/>
        <w:spacing w:before="300" w:after="150"/>
      </w:pPr>
      <w:bookmarkStart w:id="22" w:name="_Toc239590563"/>
      <w:r>
        <w:t>5.6 Progressive Disclosure</w:t>
      </w:r>
      <w:bookmarkEnd w:id="22"/>
    </w:p>
    <w:p w14:paraId="6EE35756" w14:textId="77777777" w:rsidR="00FE54A7" w:rsidRDefault="00000000">
      <w:pPr>
        <w:pStyle w:val="ListParagraph"/>
        <w:numPr>
          <w:ilvl w:val="0"/>
          <w:numId w:val="1"/>
        </w:numPr>
        <w:spacing w:after="90"/>
      </w:pPr>
      <w:r>
        <w:t>New features are introduced one at a time, after the senior demonstrates comfortable use of the current set — not exposed all at once at signup.</w:t>
      </w:r>
    </w:p>
    <w:p w14:paraId="229A61F9" w14:textId="77777777" w:rsidR="00FE54A7" w:rsidRDefault="00000000">
      <w:pPr>
        <w:pStyle w:val="ListParagraph"/>
        <w:numPr>
          <w:ilvl w:val="0"/>
          <w:numId w:val="1"/>
        </w:numPr>
        <w:spacing w:after="90"/>
      </w:pPr>
      <w:r>
        <w:t>Each newly unlocked feature opens with the same three-screen pattern used at first-run onboarding (Section 3.3): what it is, in one sentence; one easy first action; then the full feature.</w:t>
      </w:r>
    </w:p>
    <w:p w14:paraId="17AD5E4F" w14:textId="77777777" w:rsidR="00FE54A7" w:rsidRDefault="00000000">
      <w:pPr>
        <w:spacing w:after="220"/>
      </w:pPr>
      <w:r>
        <w:rPr>
          <w:i/>
          <w:iCs/>
          <w:color w:val="6B7280"/>
          <w:sz w:val="18"/>
          <w:szCs w:val="18"/>
        </w:rPr>
        <w:t>Source: JMIR mHealth setup-experience case report — engagement dropped as unaddressed setup friction accumulated, arguing for spreading complexity over time rather than front-loading it.</w:t>
      </w:r>
    </w:p>
    <w:p w14:paraId="7107AFCC" w14:textId="77777777" w:rsidR="00FE54A7" w:rsidRDefault="00000000">
      <w:pPr>
        <w:pStyle w:val="Heading1"/>
        <w:spacing w:before="400" w:after="200"/>
      </w:pPr>
      <w:bookmarkStart w:id="23" w:name="_Toc239590564"/>
      <w:r>
        <w:t>6. Caregiver-Facing Interface (Contrast Reference)</w:t>
      </w:r>
      <w:bookmarkEnd w:id="23"/>
    </w:p>
    <w:p w14:paraId="4EF020AA" w14:textId="77777777" w:rsidR="00FE54A7" w:rsidRDefault="00000000">
      <w:pPr>
        <w:spacing w:after="160"/>
      </w:pPr>
      <w:r>
        <w:t>The caregiver (usually a working adult child, digitally fluent) does not need senior-specific accommodations — this interface can and should look like a modern, information-dense consumer app, closer to a fitness or banking dashboard than to the senior's simplified view.</w:t>
      </w:r>
    </w:p>
    <w:p w14:paraId="6D2207D3" w14:textId="77777777" w:rsidR="00FE54A7" w:rsidRDefault="00000000">
      <w:pPr>
        <w:pStyle w:val="ListParagraph"/>
        <w:numPr>
          <w:ilvl w:val="0"/>
          <w:numId w:val="1"/>
        </w:numPr>
        <w:spacing w:after="90"/>
      </w:pPr>
      <w:r>
        <w:t>Standard modern typography (14px body text is acceptable), data-dense dashboard layout, charts for medication adherence trends, and standard iconography are all appropriate here — applying senior-designed constraints to this view would only slow the caregiver down for no benefit.</w:t>
      </w:r>
    </w:p>
    <w:p w14:paraId="4D932356" w14:textId="77777777" w:rsidR="00FE54A7" w:rsidRDefault="00000000">
      <w:pPr>
        <w:pStyle w:val="ListParagraph"/>
        <w:numPr>
          <w:ilvl w:val="0"/>
          <w:numId w:val="1"/>
        </w:numPr>
        <w:spacing w:after="90"/>
      </w:pPr>
      <w:r>
        <w:t>The one shared design principle across both interfaces: never surface information to the caregiver that the senior does not know is being shared — Section 3.4's visible-permissions rule applies both ways, since covert monitoring undermines the senior's sense of control and autonomy, which the technology-anxiety literature identifies as central to sustained trust.</w:t>
      </w:r>
    </w:p>
    <w:p w14:paraId="20BF737C" w14:textId="77777777" w:rsidR="00FE54A7" w:rsidRDefault="00000000">
      <w:pPr>
        <w:pStyle w:val="Heading1"/>
        <w:spacing w:before="400" w:after="200"/>
      </w:pPr>
      <w:bookmarkStart w:id="24" w:name="_Toc239590565"/>
      <w:r>
        <w:t>7. MVP Success Metrics</w:t>
      </w:r>
      <w:bookmarkEnd w:id="24"/>
    </w:p>
    <w:p w14:paraId="6BBE1C55" w14:textId="77777777" w:rsidR="00FE54A7" w:rsidRDefault="00000000">
      <w:pPr>
        <w:pStyle w:val="Heading2"/>
        <w:spacing w:before="300" w:after="150"/>
      </w:pPr>
      <w:bookmarkStart w:id="25" w:name="_Toc239590566"/>
      <w:r>
        <w:t>7.1 Adoption &amp; Onboarding Health</w:t>
      </w:r>
      <w:bookmarkEnd w:id="25"/>
    </w:p>
    <w:p w14:paraId="7751E33C" w14:textId="77777777" w:rsidR="00FE54A7" w:rsidRDefault="00000000">
      <w:pPr>
        <w:pStyle w:val="ListParagraph"/>
        <w:numPr>
          <w:ilvl w:val="0"/>
          <w:numId w:val="1"/>
        </w:numPr>
        <w:spacing w:after="90"/>
      </w:pPr>
      <w:r>
        <w:t>% of senior profiles that complete first-run onboarding (Section 3.3) without caregiver intervention after initial pairing</w:t>
      </w:r>
    </w:p>
    <w:p w14:paraId="1B876677" w14:textId="77777777" w:rsidR="00FE54A7" w:rsidRDefault="00000000">
      <w:pPr>
        <w:pStyle w:val="ListParagraph"/>
        <w:numPr>
          <w:ilvl w:val="0"/>
          <w:numId w:val="1"/>
        </w:numPr>
        <w:spacing w:after="90"/>
      </w:pPr>
      <w:r>
        <w:t>Drop-off rate at each onboarding screen — a senior-specific 4-week engagement curve should be tracked explicitly, since the setup-experience research found meaningful decline (67%→54%) within exactly this window</w:t>
      </w:r>
    </w:p>
    <w:p w14:paraId="3472ABD6" w14:textId="77777777" w:rsidR="00FE54A7" w:rsidRDefault="00000000">
      <w:pPr>
        <w:pStyle w:val="ListParagraph"/>
        <w:numPr>
          <w:ilvl w:val="0"/>
          <w:numId w:val="1"/>
        </w:numPr>
        <w:spacing w:after="90"/>
      </w:pPr>
      <w:r>
        <w:lastRenderedPageBreak/>
        <w:t>Time-to-first-success: how long from account creation to the senior's first completed independent action (e.g., first medication check-off, first voice-note in community feed)</w:t>
      </w:r>
    </w:p>
    <w:p w14:paraId="2E370AF5" w14:textId="77777777" w:rsidR="00FE54A7" w:rsidRDefault="00000000">
      <w:pPr>
        <w:pStyle w:val="Heading2"/>
        <w:spacing w:before="300" w:after="150"/>
      </w:pPr>
      <w:bookmarkStart w:id="26" w:name="_Toc239590567"/>
      <w:r>
        <w:t>7.2 Engagement &amp; Retention</w:t>
      </w:r>
      <w:bookmarkEnd w:id="26"/>
    </w:p>
    <w:p w14:paraId="10AC2728" w14:textId="77777777" w:rsidR="00FE54A7" w:rsidRDefault="00000000">
      <w:pPr>
        <w:pStyle w:val="ListParagraph"/>
        <w:numPr>
          <w:ilvl w:val="0"/>
          <w:numId w:val="1"/>
        </w:numPr>
        <w:spacing w:after="90"/>
      </w:pPr>
      <w:r>
        <w:t>Daily check-in response rate (the core loneliness-detection signal)</w:t>
      </w:r>
    </w:p>
    <w:p w14:paraId="3766EE51" w14:textId="77777777" w:rsidR="00FE54A7" w:rsidRDefault="00000000">
      <w:pPr>
        <w:pStyle w:val="ListParagraph"/>
        <w:numPr>
          <w:ilvl w:val="0"/>
          <w:numId w:val="1"/>
        </w:numPr>
        <w:spacing w:after="90"/>
      </w:pPr>
      <w:r>
        <w:t>Medication adherence % logged vs. reminders sent</w:t>
      </w:r>
    </w:p>
    <w:p w14:paraId="02D16987" w14:textId="77777777" w:rsidR="00FE54A7" w:rsidRDefault="00000000">
      <w:pPr>
        <w:pStyle w:val="ListParagraph"/>
        <w:numPr>
          <w:ilvl w:val="0"/>
          <w:numId w:val="1"/>
        </w:numPr>
        <w:spacing w:after="90"/>
      </w:pPr>
      <w:r>
        <w:t>Weekly active seniors vs. weekly active caregivers — tracked separately, since caregiver engagement without senior engagement signals the product has become a monitoring tool rather than a companionship tool</w:t>
      </w:r>
    </w:p>
    <w:p w14:paraId="36CA1A30" w14:textId="77777777" w:rsidR="00FE54A7" w:rsidRDefault="00000000">
      <w:pPr>
        <w:pStyle w:val="ListParagraph"/>
        <w:numPr>
          <w:ilvl w:val="0"/>
          <w:numId w:val="1"/>
        </w:numPr>
        <w:spacing w:after="90"/>
      </w:pPr>
      <w:r>
        <w:t>Community feed participation rate (voice-note replies per active user per week)</w:t>
      </w:r>
    </w:p>
    <w:p w14:paraId="025B7B7C" w14:textId="77777777" w:rsidR="00FE54A7" w:rsidRDefault="00000000">
      <w:pPr>
        <w:pStyle w:val="Heading3"/>
        <w:spacing w:before="220" w:after="120"/>
      </w:pPr>
      <w:r>
        <w:t>7.3 Trust &amp; Emotional Signal Metrics (Qualitative + Proxy)</w:t>
      </w:r>
    </w:p>
    <w:p w14:paraId="0A9CF893" w14:textId="77777777" w:rsidR="00FE54A7" w:rsidRDefault="00000000">
      <w:pPr>
        <w:pStyle w:val="ListParagraph"/>
        <w:numPr>
          <w:ilvl w:val="0"/>
          <w:numId w:val="1"/>
        </w:numPr>
        <w:spacing w:after="90"/>
      </w:pPr>
      <w:r>
        <w:t>Rate of SOS/emergency features being test-tapped vs. accidentally triggered (a proxy for whether touch-target and spacing choices are working)</w:t>
      </w:r>
    </w:p>
    <w:p w14:paraId="42F8DF8B" w14:textId="77777777" w:rsidR="00FE54A7" w:rsidRDefault="00000000">
      <w:pPr>
        <w:pStyle w:val="ListParagraph"/>
        <w:numPr>
          <w:ilvl w:val="0"/>
          <w:numId w:val="1"/>
        </w:numPr>
        <w:spacing w:after="90"/>
      </w:pPr>
      <w:r>
        <w:t>Support-contact volume citing 'I was afraid I broke something' or similar language — directly measuring whether Section 4.4's anxiety-reduction design is working</w:t>
      </w:r>
    </w:p>
    <w:p w14:paraId="60A4B48C" w14:textId="77777777" w:rsidR="00FE54A7" w:rsidRDefault="00000000">
      <w:pPr>
        <w:pStyle w:val="ListParagraph"/>
        <w:numPr>
          <w:ilvl w:val="0"/>
          <w:numId w:val="1"/>
        </w:numPr>
        <w:spacing w:after="90"/>
      </w:pPr>
      <w:r>
        <w:t>Caregiver-reported change in parent's mood/social engagement via periodic light-touch survey (not a clinical instrument, but a directional signal)</w:t>
      </w:r>
    </w:p>
    <w:p w14:paraId="29AF4058" w14:textId="77777777" w:rsidR="00FE54A7" w:rsidRDefault="00000000">
      <w:pPr>
        <w:pStyle w:val="Heading1"/>
        <w:spacing w:before="400" w:after="200"/>
      </w:pPr>
      <w:bookmarkStart w:id="27" w:name="_Toc239590568"/>
      <w:r>
        <w:t>8. Design Decisions at a Glance</w:t>
      </w:r>
      <w:bookmarkEnd w:id="27"/>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1600"/>
      </w:tblGrid>
      <w:tr w:rsidR="00FE54A7" w14:paraId="04276D7A" w14:textId="77777777">
        <w:tblPrEx>
          <w:tblCellMar>
            <w:top w:w="0" w:type="dxa"/>
            <w:bottom w:w="0" w:type="dxa"/>
          </w:tblCellMar>
        </w:tblPrEx>
        <w:trPr>
          <w:tblHeader/>
        </w:trPr>
        <w:tc>
          <w:tcPr>
            <w:tcW w:w="2800" w:type="dxa"/>
            <w:shd w:val="clear" w:color="auto" w:fill="1F2937"/>
            <w:tcMar>
              <w:top w:w="80" w:type="dxa"/>
              <w:left w:w="100" w:type="dxa"/>
              <w:bottom w:w="80" w:type="dxa"/>
              <w:right w:w="100" w:type="dxa"/>
            </w:tcMar>
            <w:vAlign w:val="center"/>
          </w:tcPr>
          <w:p w14:paraId="43442F82" w14:textId="77777777" w:rsidR="00FE54A7" w:rsidRDefault="00000000">
            <w:r>
              <w:rPr>
                <w:b/>
                <w:bCs/>
                <w:color w:val="FFFFFF"/>
                <w:sz w:val="19"/>
                <w:szCs w:val="19"/>
              </w:rPr>
              <w:t>Feature / Choice</w:t>
            </w:r>
          </w:p>
        </w:tc>
        <w:tc>
          <w:tcPr>
            <w:tcW w:w="4200" w:type="dxa"/>
            <w:shd w:val="clear" w:color="auto" w:fill="1F2937"/>
            <w:tcMar>
              <w:top w:w="80" w:type="dxa"/>
              <w:left w:w="100" w:type="dxa"/>
              <w:bottom w:w="80" w:type="dxa"/>
              <w:right w:w="100" w:type="dxa"/>
            </w:tcMar>
            <w:vAlign w:val="center"/>
          </w:tcPr>
          <w:p w14:paraId="29DF6944" w14:textId="77777777" w:rsidR="00FE54A7" w:rsidRDefault="00000000">
            <w:r>
              <w:rPr>
                <w:b/>
                <w:bCs/>
                <w:color w:val="FFFFFF"/>
                <w:sz w:val="19"/>
                <w:szCs w:val="19"/>
              </w:rPr>
              <w:t>Root Cause It Addresses</w:t>
            </w:r>
          </w:p>
        </w:tc>
        <w:tc>
          <w:tcPr>
            <w:tcW w:w="1600" w:type="dxa"/>
            <w:shd w:val="clear" w:color="auto" w:fill="1F2937"/>
            <w:tcMar>
              <w:top w:w="80" w:type="dxa"/>
              <w:left w:w="100" w:type="dxa"/>
              <w:bottom w:w="80" w:type="dxa"/>
              <w:right w:w="100" w:type="dxa"/>
            </w:tcMar>
            <w:vAlign w:val="center"/>
          </w:tcPr>
          <w:p w14:paraId="7AD623C6" w14:textId="77777777" w:rsidR="00FE54A7" w:rsidRDefault="00000000">
            <w:r>
              <w:rPr>
                <w:b/>
                <w:bCs/>
                <w:color w:val="FFFFFF"/>
                <w:sz w:val="19"/>
                <w:szCs w:val="19"/>
              </w:rPr>
              <w:t>Section</w:t>
            </w:r>
          </w:p>
        </w:tc>
      </w:tr>
      <w:tr w:rsidR="00FE54A7" w14:paraId="189F5495" w14:textId="77777777">
        <w:tblPrEx>
          <w:tblCellMar>
            <w:top w:w="0" w:type="dxa"/>
            <w:bottom w:w="0" w:type="dxa"/>
          </w:tblCellMar>
        </w:tblPrEx>
        <w:tc>
          <w:tcPr>
            <w:tcW w:w="2800" w:type="dxa"/>
            <w:shd w:val="clear" w:color="auto" w:fill="F9FAFB"/>
            <w:tcMar>
              <w:top w:w="80" w:type="dxa"/>
              <w:left w:w="100" w:type="dxa"/>
              <w:bottom w:w="80" w:type="dxa"/>
              <w:right w:w="100" w:type="dxa"/>
            </w:tcMar>
            <w:vAlign w:val="center"/>
          </w:tcPr>
          <w:p w14:paraId="779F8F40" w14:textId="77777777" w:rsidR="00FE54A7" w:rsidRDefault="00000000">
            <w:r>
              <w:rPr>
                <w:sz w:val="19"/>
                <w:szCs w:val="19"/>
              </w:rPr>
              <w:t>Caregiver-led onboarding as primary path</w:t>
            </w:r>
          </w:p>
        </w:tc>
        <w:tc>
          <w:tcPr>
            <w:tcW w:w="4200" w:type="dxa"/>
            <w:shd w:val="clear" w:color="auto" w:fill="F9FAFB"/>
            <w:tcMar>
              <w:top w:w="80" w:type="dxa"/>
              <w:left w:w="100" w:type="dxa"/>
              <w:bottom w:w="80" w:type="dxa"/>
              <w:right w:w="100" w:type="dxa"/>
            </w:tcMar>
            <w:vAlign w:val="center"/>
          </w:tcPr>
          <w:p w14:paraId="3F47715A" w14:textId="77777777" w:rsidR="00FE54A7" w:rsidRDefault="00000000">
            <w:r>
              <w:rPr>
                <w:sz w:val="19"/>
                <w:szCs w:val="19"/>
              </w:rPr>
              <w:t>5-11% smartphone penetration among 55+ Indians; low digital literacy</w:t>
            </w:r>
          </w:p>
        </w:tc>
        <w:tc>
          <w:tcPr>
            <w:tcW w:w="1600" w:type="dxa"/>
            <w:shd w:val="clear" w:color="auto" w:fill="F9FAFB"/>
            <w:tcMar>
              <w:top w:w="80" w:type="dxa"/>
              <w:left w:w="100" w:type="dxa"/>
              <w:bottom w:w="80" w:type="dxa"/>
              <w:right w:w="100" w:type="dxa"/>
            </w:tcMar>
            <w:vAlign w:val="center"/>
          </w:tcPr>
          <w:p w14:paraId="32D46123" w14:textId="77777777" w:rsidR="00FE54A7" w:rsidRDefault="00000000">
            <w:r>
              <w:rPr>
                <w:sz w:val="19"/>
                <w:szCs w:val="19"/>
              </w:rPr>
              <w:t>3.1</w:t>
            </w:r>
          </w:p>
        </w:tc>
      </w:tr>
      <w:tr w:rsidR="00FE54A7" w14:paraId="486A59D5"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337C9BF1" w14:textId="77777777" w:rsidR="00FE54A7" w:rsidRDefault="00000000">
            <w:r>
              <w:rPr>
                <w:sz w:val="19"/>
                <w:szCs w:val="19"/>
              </w:rPr>
              <w:t>3-icon home screen, progressive disclosure</w:t>
            </w:r>
          </w:p>
        </w:tc>
        <w:tc>
          <w:tcPr>
            <w:tcW w:w="4200" w:type="dxa"/>
            <w:shd w:val="clear" w:color="auto" w:fill="FFFFFF"/>
            <w:tcMar>
              <w:top w:w="80" w:type="dxa"/>
              <w:left w:w="100" w:type="dxa"/>
              <w:bottom w:w="80" w:type="dxa"/>
              <w:right w:w="100" w:type="dxa"/>
            </w:tcMar>
            <w:vAlign w:val="center"/>
          </w:tcPr>
          <w:p w14:paraId="4E772EC9" w14:textId="77777777" w:rsidR="00FE54A7" w:rsidRDefault="00000000">
            <w:r>
              <w:rPr>
                <w:sz w:val="19"/>
                <w:szCs w:val="19"/>
              </w:rPr>
              <w:t>23% working-memory reduction; fluid intelligence decline</w:t>
            </w:r>
          </w:p>
        </w:tc>
        <w:tc>
          <w:tcPr>
            <w:tcW w:w="1600" w:type="dxa"/>
            <w:shd w:val="clear" w:color="auto" w:fill="FFFFFF"/>
            <w:tcMar>
              <w:top w:w="80" w:type="dxa"/>
              <w:left w:w="100" w:type="dxa"/>
              <w:bottom w:w="80" w:type="dxa"/>
              <w:right w:w="100" w:type="dxa"/>
            </w:tcMar>
            <w:vAlign w:val="center"/>
          </w:tcPr>
          <w:p w14:paraId="4D4AC4BD" w14:textId="77777777" w:rsidR="00FE54A7" w:rsidRDefault="00000000">
            <w:r>
              <w:rPr>
                <w:sz w:val="19"/>
                <w:szCs w:val="19"/>
              </w:rPr>
              <w:t>3.3, 5.6</w:t>
            </w:r>
          </w:p>
        </w:tc>
      </w:tr>
      <w:tr w:rsidR="00FE54A7" w14:paraId="0E15B75C" w14:textId="77777777">
        <w:tblPrEx>
          <w:tblCellMar>
            <w:top w:w="0" w:type="dxa"/>
            <w:bottom w:w="0" w:type="dxa"/>
          </w:tblCellMar>
        </w:tblPrEx>
        <w:tc>
          <w:tcPr>
            <w:tcW w:w="2800" w:type="dxa"/>
            <w:shd w:val="clear" w:color="auto" w:fill="F9FAFB"/>
            <w:tcMar>
              <w:top w:w="80" w:type="dxa"/>
              <w:left w:w="100" w:type="dxa"/>
              <w:bottom w:w="80" w:type="dxa"/>
              <w:right w:w="100" w:type="dxa"/>
            </w:tcMar>
            <w:vAlign w:val="center"/>
          </w:tcPr>
          <w:p w14:paraId="33050BAF" w14:textId="77777777" w:rsidR="00FE54A7" w:rsidRDefault="00000000">
            <w:r>
              <w:rPr>
                <w:sz w:val="19"/>
                <w:szCs w:val="19"/>
              </w:rPr>
              <w:t>16pt+ sans-serif type, adjustable size</w:t>
            </w:r>
          </w:p>
        </w:tc>
        <w:tc>
          <w:tcPr>
            <w:tcW w:w="4200" w:type="dxa"/>
            <w:shd w:val="clear" w:color="auto" w:fill="F9FAFB"/>
            <w:tcMar>
              <w:top w:w="80" w:type="dxa"/>
              <w:left w:w="100" w:type="dxa"/>
              <w:bottom w:w="80" w:type="dxa"/>
              <w:right w:w="100" w:type="dxa"/>
            </w:tcMar>
            <w:vAlign w:val="center"/>
          </w:tcPr>
          <w:p w14:paraId="639E011A" w14:textId="77777777" w:rsidR="00FE54A7" w:rsidRDefault="00000000">
            <w:r>
              <w:rPr>
                <w:sz w:val="19"/>
                <w:szCs w:val="19"/>
              </w:rPr>
              <w:t>Contrast sensitivity and acuity decline with age</w:t>
            </w:r>
          </w:p>
        </w:tc>
        <w:tc>
          <w:tcPr>
            <w:tcW w:w="1600" w:type="dxa"/>
            <w:shd w:val="clear" w:color="auto" w:fill="F9FAFB"/>
            <w:tcMar>
              <w:top w:w="80" w:type="dxa"/>
              <w:left w:w="100" w:type="dxa"/>
              <w:bottom w:w="80" w:type="dxa"/>
              <w:right w:w="100" w:type="dxa"/>
            </w:tcMar>
            <w:vAlign w:val="center"/>
          </w:tcPr>
          <w:p w14:paraId="3F9D3C0E" w14:textId="77777777" w:rsidR="00FE54A7" w:rsidRDefault="00000000">
            <w:r>
              <w:rPr>
                <w:sz w:val="19"/>
                <w:szCs w:val="19"/>
              </w:rPr>
              <w:t>5.1</w:t>
            </w:r>
          </w:p>
        </w:tc>
      </w:tr>
      <w:tr w:rsidR="00FE54A7" w14:paraId="4E9190EB"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722808D4" w14:textId="77777777" w:rsidR="00FE54A7" w:rsidRDefault="00000000">
            <w:r>
              <w:rPr>
                <w:sz w:val="19"/>
                <w:szCs w:val="19"/>
              </w:rPr>
              <w:t>Warm off-white background, deep saturated blues only</w:t>
            </w:r>
          </w:p>
        </w:tc>
        <w:tc>
          <w:tcPr>
            <w:tcW w:w="4200" w:type="dxa"/>
            <w:shd w:val="clear" w:color="auto" w:fill="FFFFFF"/>
            <w:tcMar>
              <w:top w:w="80" w:type="dxa"/>
              <w:left w:w="100" w:type="dxa"/>
              <w:bottom w:w="80" w:type="dxa"/>
              <w:right w:w="100" w:type="dxa"/>
            </w:tcMar>
            <w:vAlign w:val="center"/>
          </w:tcPr>
          <w:p w14:paraId="04E7A701" w14:textId="77777777" w:rsidR="00FE54A7" w:rsidRDefault="00000000">
            <w:r>
              <w:rPr>
                <w:sz w:val="19"/>
                <w:szCs w:val="19"/>
              </w:rPr>
              <w:t>Lens yellowing; yellow-blue discrimination decline</w:t>
            </w:r>
          </w:p>
        </w:tc>
        <w:tc>
          <w:tcPr>
            <w:tcW w:w="1600" w:type="dxa"/>
            <w:shd w:val="clear" w:color="auto" w:fill="FFFFFF"/>
            <w:tcMar>
              <w:top w:w="80" w:type="dxa"/>
              <w:left w:w="100" w:type="dxa"/>
              <w:bottom w:w="80" w:type="dxa"/>
              <w:right w:w="100" w:type="dxa"/>
            </w:tcMar>
            <w:vAlign w:val="center"/>
          </w:tcPr>
          <w:p w14:paraId="45FE79C0" w14:textId="77777777" w:rsidR="00FE54A7" w:rsidRDefault="00000000">
            <w:r>
              <w:rPr>
                <w:sz w:val="19"/>
                <w:szCs w:val="19"/>
              </w:rPr>
              <w:t>5.2</w:t>
            </w:r>
          </w:p>
        </w:tc>
      </w:tr>
      <w:tr w:rsidR="00FE54A7" w14:paraId="198E25E6" w14:textId="77777777">
        <w:tblPrEx>
          <w:tblCellMar>
            <w:top w:w="0" w:type="dxa"/>
            <w:bottom w:w="0" w:type="dxa"/>
          </w:tblCellMar>
        </w:tblPrEx>
        <w:tc>
          <w:tcPr>
            <w:tcW w:w="2800" w:type="dxa"/>
            <w:shd w:val="clear" w:color="auto" w:fill="F9FAFB"/>
            <w:tcMar>
              <w:top w:w="80" w:type="dxa"/>
              <w:left w:w="100" w:type="dxa"/>
              <w:bottom w:w="80" w:type="dxa"/>
              <w:right w:w="100" w:type="dxa"/>
            </w:tcMar>
            <w:vAlign w:val="center"/>
          </w:tcPr>
          <w:p w14:paraId="41715CDD" w14:textId="77777777" w:rsidR="00FE54A7" w:rsidRDefault="00000000">
            <w:r>
              <w:rPr>
                <w:sz w:val="19"/>
                <w:szCs w:val="19"/>
              </w:rPr>
              <w:t>Color never used alone as a signal</w:t>
            </w:r>
          </w:p>
        </w:tc>
        <w:tc>
          <w:tcPr>
            <w:tcW w:w="4200" w:type="dxa"/>
            <w:shd w:val="clear" w:color="auto" w:fill="F9FAFB"/>
            <w:tcMar>
              <w:top w:w="80" w:type="dxa"/>
              <w:left w:w="100" w:type="dxa"/>
              <w:bottom w:w="80" w:type="dxa"/>
              <w:right w:w="100" w:type="dxa"/>
            </w:tcMar>
            <w:vAlign w:val="center"/>
          </w:tcPr>
          <w:p w14:paraId="35046DCA" w14:textId="77777777" w:rsidR="00FE54A7" w:rsidRDefault="00000000">
            <w:r>
              <w:rPr>
                <w:sz w:val="19"/>
                <w:szCs w:val="19"/>
              </w:rPr>
              <w:t>Yellow-blue/contrast-sensitivity limitations</w:t>
            </w:r>
          </w:p>
        </w:tc>
        <w:tc>
          <w:tcPr>
            <w:tcW w:w="1600" w:type="dxa"/>
            <w:shd w:val="clear" w:color="auto" w:fill="F9FAFB"/>
            <w:tcMar>
              <w:top w:w="80" w:type="dxa"/>
              <w:left w:w="100" w:type="dxa"/>
              <w:bottom w:w="80" w:type="dxa"/>
              <w:right w:w="100" w:type="dxa"/>
            </w:tcMar>
            <w:vAlign w:val="center"/>
          </w:tcPr>
          <w:p w14:paraId="05F4C09E" w14:textId="77777777" w:rsidR="00FE54A7" w:rsidRDefault="00000000">
            <w:r>
              <w:rPr>
                <w:sz w:val="19"/>
                <w:szCs w:val="19"/>
              </w:rPr>
              <w:t>5.2</w:t>
            </w:r>
          </w:p>
        </w:tc>
      </w:tr>
      <w:tr w:rsidR="00FE54A7" w14:paraId="74AFA34B"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7D509A61" w14:textId="77777777" w:rsidR="00FE54A7" w:rsidRDefault="00000000">
            <w:r>
              <w:rPr>
                <w:sz w:val="19"/>
                <w:szCs w:val="19"/>
              </w:rPr>
              <w:t>44×44px+ touch targets, generous spacing</w:t>
            </w:r>
          </w:p>
        </w:tc>
        <w:tc>
          <w:tcPr>
            <w:tcW w:w="4200" w:type="dxa"/>
            <w:shd w:val="clear" w:color="auto" w:fill="FFFFFF"/>
            <w:tcMar>
              <w:top w:w="80" w:type="dxa"/>
              <w:left w:w="100" w:type="dxa"/>
              <w:bottom w:w="80" w:type="dxa"/>
              <w:right w:w="100" w:type="dxa"/>
            </w:tcMar>
            <w:vAlign w:val="center"/>
          </w:tcPr>
          <w:p w14:paraId="183F736D" w14:textId="77777777" w:rsidR="00FE54A7" w:rsidRDefault="00000000">
            <w:r>
              <w:rPr>
                <w:sz w:val="19"/>
                <w:szCs w:val="19"/>
              </w:rPr>
              <w:t>Reduced grip strength, joint stiffness, tremor</w:t>
            </w:r>
          </w:p>
        </w:tc>
        <w:tc>
          <w:tcPr>
            <w:tcW w:w="1600" w:type="dxa"/>
            <w:shd w:val="clear" w:color="auto" w:fill="FFFFFF"/>
            <w:tcMar>
              <w:top w:w="80" w:type="dxa"/>
              <w:left w:w="100" w:type="dxa"/>
              <w:bottom w:w="80" w:type="dxa"/>
              <w:right w:w="100" w:type="dxa"/>
            </w:tcMar>
            <w:vAlign w:val="center"/>
          </w:tcPr>
          <w:p w14:paraId="553BDD8F" w14:textId="77777777" w:rsidR="00FE54A7" w:rsidRDefault="00000000">
            <w:r>
              <w:rPr>
                <w:sz w:val="19"/>
                <w:szCs w:val="19"/>
              </w:rPr>
              <w:t>5.3</w:t>
            </w:r>
          </w:p>
        </w:tc>
      </w:tr>
      <w:tr w:rsidR="00FE54A7" w14:paraId="48A0FFA5" w14:textId="77777777">
        <w:tblPrEx>
          <w:tblCellMar>
            <w:top w:w="0" w:type="dxa"/>
            <w:bottom w:w="0" w:type="dxa"/>
          </w:tblCellMar>
        </w:tblPrEx>
        <w:tc>
          <w:tcPr>
            <w:tcW w:w="2800" w:type="dxa"/>
            <w:shd w:val="clear" w:color="auto" w:fill="F9FAFB"/>
            <w:tcMar>
              <w:top w:w="80" w:type="dxa"/>
              <w:left w:w="100" w:type="dxa"/>
              <w:bottom w:w="80" w:type="dxa"/>
              <w:right w:w="100" w:type="dxa"/>
            </w:tcMar>
            <w:vAlign w:val="center"/>
          </w:tcPr>
          <w:p w14:paraId="1118671D" w14:textId="77777777" w:rsidR="00FE54A7" w:rsidRDefault="00000000">
            <w:r>
              <w:rPr>
                <w:sz w:val="19"/>
                <w:szCs w:val="19"/>
              </w:rPr>
              <w:t>Voice input + audio confirmation on core actions</w:t>
            </w:r>
          </w:p>
        </w:tc>
        <w:tc>
          <w:tcPr>
            <w:tcW w:w="4200" w:type="dxa"/>
            <w:shd w:val="clear" w:color="auto" w:fill="F9FAFB"/>
            <w:tcMar>
              <w:top w:w="80" w:type="dxa"/>
              <w:left w:w="100" w:type="dxa"/>
              <w:bottom w:w="80" w:type="dxa"/>
              <w:right w:w="100" w:type="dxa"/>
            </w:tcMar>
            <w:vAlign w:val="center"/>
          </w:tcPr>
          <w:p w14:paraId="7038888B" w14:textId="77777777" w:rsidR="00FE54A7" w:rsidRDefault="00000000">
            <w:r>
              <w:rPr>
                <w:sz w:val="19"/>
                <w:szCs w:val="19"/>
              </w:rPr>
              <w:t>Typing/video-calling are least-adopted senior smartphone functions</w:t>
            </w:r>
          </w:p>
        </w:tc>
        <w:tc>
          <w:tcPr>
            <w:tcW w:w="1600" w:type="dxa"/>
            <w:shd w:val="clear" w:color="auto" w:fill="F9FAFB"/>
            <w:tcMar>
              <w:top w:w="80" w:type="dxa"/>
              <w:left w:w="100" w:type="dxa"/>
              <w:bottom w:w="80" w:type="dxa"/>
              <w:right w:w="100" w:type="dxa"/>
            </w:tcMar>
            <w:vAlign w:val="center"/>
          </w:tcPr>
          <w:p w14:paraId="43DB2180" w14:textId="77777777" w:rsidR="00FE54A7" w:rsidRDefault="00000000">
            <w:r>
              <w:rPr>
                <w:sz w:val="19"/>
                <w:szCs w:val="19"/>
              </w:rPr>
              <w:t>5.4</w:t>
            </w:r>
          </w:p>
        </w:tc>
      </w:tr>
      <w:tr w:rsidR="00FE54A7" w14:paraId="3B8FBBAF"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637C361B" w14:textId="77777777" w:rsidR="00FE54A7" w:rsidRDefault="00000000">
            <w:r>
              <w:rPr>
                <w:sz w:val="19"/>
                <w:szCs w:val="19"/>
              </w:rPr>
              <w:t>Confirmation + undo on irreversible actions, blame-free errors</w:t>
            </w:r>
          </w:p>
        </w:tc>
        <w:tc>
          <w:tcPr>
            <w:tcW w:w="4200" w:type="dxa"/>
            <w:shd w:val="clear" w:color="auto" w:fill="FFFFFF"/>
            <w:tcMar>
              <w:top w:w="80" w:type="dxa"/>
              <w:left w:w="100" w:type="dxa"/>
              <w:bottom w:w="80" w:type="dxa"/>
              <w:right w:w="100" w:type="dxa"/>
            </w:tcMar>
            <w:vAlign w:val="center"/>
          </w:tcPr>
          <w:p w14:paraId="2F34897E" w14:textId="77777777" w:rsidR="00FE54A7" w:rsidRDefault="00000000">
            <w:r>
              <w:rPr>
                <w:sz w:val="19"/>
                <w:szCs w:val="19"/>
              </w:rPr>
              <w:t>Fear of 'breaking something,' technology anxiety</w:t>
            </w:r>
          </w:p>
        </w:tc>
        <w:tc>
          <w:tcPr>
            <w:tcW w:w="1600" w:type="dxa"/>
            <w:shd w:val="clear" w:color="auto" w:fill="FFFFFF"/>
            <w:tcMar>
              <w:top w:w="80" w:type="dxa"/>
              <w:left w:w="100" w:type="dxa"/>
              <w:bottom w:w="80" w:type="dxa"/>
              <w:right w:w="100" w:type="dxa"/>
            </w:tcMar>
            <w:vAlign w:val="center"/>
          </w:tcPr>
          <w:p w14:paraId="0D8B7EE4" w14:textId="77777777" w:rsidR="00FE54A7" w:rsidRDefault="00000000">
            <w:r>
              <w:rPr>
                <w:sz w:val="19"/>
                <w:szCs w:val="19"/>
              </w:rPr>
              <w:t>5.5</w:t>
            </w:r>
          </w:p>
        </w:tc>
      </w:tr>
      <w:tr w:rsidR="00FE54A7" w14:paraId="207B4F82" w14:textId="77777777">
        <w:tblPrEx>
          <w:tblCellMar>
            <w:top w:w="0" w:type="dxa"/>
            <w:bottom w:w="0" w:type="dxa"/>
          </w:tblCellMar>
        </w:tblPrEx>
        <w:tc>
          <w:tcPr>
            <w:tcW w:w="2800" w:type="dxa"/>
            <w:shd w:val="clear" w:color="auto" w:fill="F9FAFB"/>
            <w:tcMar>
              <w:top w:w="80" w:type="dxa"/>
              <w:left w:w="100" w:type="dxa"/>
              <w:bottom w:w="80" w:type="dxa"/>
              <w:right w:w="100" w:type="dxa"/>
            </w:tcMar>
            <w:vAlign w:val="center"/>
          </w:tcPr>
          <w:p w14:paraId="141FEDA9" w14:textId="77777777" w:rsidR="00FE54A7" w:rsidRDefault="00000000">
            <w:r>
              <w:rPr>
                <w:sz w:val="19"/>
                <w:szCs w:val="19"/>
              </w:rPr>
              <w:t>Peer-narrated help content</w:t>
            </w:r>
          </w:p>
        </w:tc>
        <w:tc>
          <w:tcPr>
            <w:tcW w:w="4200" w:type="dxa"/>
            <w:shd w:val="clear" w:color="auto" w:fill="F9FAFB"/>
            <w:tcMar>
              <w:top w:w="80" w:type="dxa"/>
              <w:left w:w="100" w:type="dxa"/>
              <w:bottom w:w="80" w:type="dxa"/>
              <w:right w:w="100" w:type="dxa"/>
            </w:tcMar>
            <w:vAlign w:val="center"/>
          </w:tcPr>
          <w:p w14:paraId="27ED3201" w14:textId="77777777" w:rsidR="00FE54A7" w:rsidRDefault="00000000">
            <w:r>
              <w:rPr>
                <w:sz w:val="19"/>
                <w:szCs w:val="19"/>
              </w:rPr>
              <w:t>Peer learning outperforms family/instruction-manual learning for seniors</w:t>
            </w:r>
          </w:p>
        </w:tc>
        <w:tc>
          <w:tcPr>
            <w:tcW w:w="1600" w:type="dxa"/>
            <w:shd w:val="clear" w:color="auto" w:fill="F9FAFB"/>
            <w:tcMar>
              <w:top w:w="80" w:type="dxa"/>
              <w:left w:w="100" w:type="dxa"/>
              <w:bottom w:w="80" w:type="dxa"/>
              <w:right w:w="100" w:type="dxa"/>
            </w:tcMar>
            <w:vAlign w:val="center"/>
          </w:tcPr>
          <w:p w14:paraId="51A42063" w14:textId="77777777" w:rsidR="00FE54A7" w:rsidRDefault="00000000">
            <w:r>
              <w:rPr>
                <w:sz w:val="19"/>
                <w:szCs w:val="19"/>
              </w:rPr>
              <w:t>4.5</w:t>
            </w:r>
          </w:p>
        </w:tc>
      </w:tr>
      <w:tr w:rsidR="00FE54A7" w14:paraId="5858FA66"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35A5E407" w14:textId="77777777" w:rsidR="00FE54A7" w:rsidRDefault="00000000">
            <w:r>
              <w:rPr>
                <w:sz w:val="19"/>
                <w:szCs w:val="19"/>
              </w:rPr>
              <w:t>Visible, senior-controlled caregiver permissions</w:t>
            </w:r>
          </w:p>
        </w:tc>
        <w:tc>
          <w:tcPr>
            <w:tcW w:w="4200" w:type="dxa"/>
            <w:shd w:val="clear" w:color="auto" w:fill="FFFFFF"/>
            <w:tcMar>
              <w:top w:w="80" w:type="dxa"/>
              <w:left w:w="100" w:type="dxa"/>
              <w:bottom w:w="80" w:type="dxa"/>
              <w:right w:w="100" w:type="dxa"/>
            </w:tcMar>
            <w:vAlign w:val="center"/>
          </w:tcPr>
          <w:p w14:paraId="3829A40E" w14:textId="77777777" w:rsidR="00FE54A7" w:rsidRDefault="00000000">
            <w:r>
              <w:rPr>
                <w:sz w:val="19"/>
                <w:szCs w:val="19"/>
              </w:rPr>
              <w:t>Autonomy/control as a documented driver of sustained trust</w:t>
            </w:r>
          </w:p>
        </w:tc>
        <w:tc>
          <w:tcPr>
            <w:tcW w:w="1600" w:type="dxa"/>
            <w:shd w:val="clear" w:color="auto" w:fill="FFFFFF"/>
            <w:tcMar>
              <w:top w:w="80" w:type="dxa"/>
              <w:left w:w="100" w:type="dxa"/>
              <w:bottom w:w="80" w:type="dxa"/>
              <w:right w:w="100" w:type="dxa"/>
            </w:tcMar>
            <w:vAlign w:val="center"/>
          </w:tcPr>
          <w:p w14:paraId="308779D0" w14:textId="77777777" w:rsidR="00FE54A7" w:rsidRDefault="00000000">
            <w:r>
              <w:rPr>
                <w:sz w:val="19"/>
                <w:szCs w:val="19"/>
              </w:rPr>
              <w:t>3.4, 6</w:t>
            </w:r>
          </w:p>
        </w:tc>
      </w:tr>
    </w:tbl>
    <w:p w14:paraId="688B1316" w14:textId="77777777" w:rsidR="00FE54A7" w:rsidRDefault="00000000">
      <w:pPr>
        <w:pStyle w:val="Heading1"/>
        <w:spacing w:before="400" w:after="200"/>
      </w:pPr>
      <w:bookmarkStart w:id="28" w:name="_Toc239590569"/>
      <w:r>
        <w:lastRenderedPageBreak/>
        <w:t>9. Source References</w:t>
      </w:r>
      <w:bookmarkEnd w:id="28"/>
    </w:p>
    <w:p w14:paraId="3A6832BF" w14:textId="77777777" w:rsidR="00FE54A7" w:rsidRDefault="00000000">
      <w:pPr>
        <w:spacing w:after="160"/>
      </w:pPr>
      <w:r>
        <w:t>All studies and design guides referenced in this document (accessed September 2026):</w:t>
      </w:r>
    </w:p>
    <w:p w14:paraId="4A6F979D" w14:textId="77777777" w:rsidR="00FE54A7" w:rsidRDefault="00000000">
      <w:pPr>
        <w:pStyle w:val="ListParagraph"/>
        <w:numPr>
          <w:ilvl w:val="0"/>
          <w:numId w:val="1"/>
        </w:numPr>
        <w:spacing w:after="90"/>
      </w:pPr>
      <w:r>
        <w:t>Nielsen Norman Group — 'Usability for Older Adults: Challenges and Changes'; 'Usability for Senior Citizens: Improved, But Still Lacking'; 'Define Techy Terms for Older Users'; 'UX Design for Seniors (Ages 65 and older), 3rd Edition' (nngroup.com)</w:t>
      </w:r>
    </w:p>
    <w:p w14:paraId="36182DCA" w14:textId="77777777" w:rsidR="00FE54A7" w:rsidRDefault="00000000">
      <w:pPr>
        <w:pStyle w:val="ListParagraph"/>
        <w:numPr>
          <w:ilvl w:val="0"/>
          <w:numId w:val="1"/>
        </w:numPr>
        <w:spacing w:after="90"/>
      </w:pPr>
      <w:r>
        <w:t>Frontiers in Psychology — 'How to design font size for older adults: A systematic literature review with a mobile device' (2022)</w:t>
      </w:r>
    </w:p>
    <w:p w14:paraId="58A16A5C" w14:textId="77777777" w:rsidR="00FE54A7" w:rsidRDefault="00000000">
      <w:pPr>
        <w:pStyle w:val="ListParagraph"/>
        <w:numPr>
          <w:ilvl w:val="0"/>
          <w:numId w:val="1"/>
        </w:numPr>
        <w:spacing w:after="90"/>
      </w:pPr>
      <w:r>
        <w:t>JMIR mHealth and uHealth — 'Design Guidelines of Mobile Apps for Older Adults' (2023)</w:t>
      </w:r>
    </w:p>
    <w:p w14:paraId="437A2C4E" w14:textId="77777777" w:rsidR="00FE54A7" w:rsidRDefault="00000000">
      <w:pPr>
        <w:pStyle w:val="ListParagraph"/>
        <w:numPr>
          <w:ilvl w:val="0"/>
          <w:numId w:val="1"/>
        </w:numPr>
        <w:spacing w:after="90"/>
      </w:pPr>
      <w:r>
        <w:t>ACM Digital Library — 'Design for Older People: Improving the Usability of Mobile Apps through Targeted Design Recommendations' (2026)</w:t>
      </w:r>
    </w:p>
    <w:p w14:paraId="410280DB" w14:textId="77777777" w:rsidR="00FE54A7" w:rsidRDefault="00000000">
      <w:pPr>
        <w:pStyle w:val="ListParagraph"/>
        <w:numPr>
          <w:ilvl w:val="0"/>
          <w:numId w:val="1"/>
        </w:numPr>
        <w:spacing w:after="90"/>
      </w:pPr>
      <w:r>
        <w:t>Toptal — 'A Guide to Interface Design for Older Adults'; Adchitects — 'A Guide To Interface Design for Older Adults'</w:t>
      </w:r>
    </w:p>
    <w:p w14:paraId="18162734" w14:textId="77777777" w:rsidR="00FE54A7" w:rsidRDefault="00000000">
      <w:pPr>
        <w:pStyle w:val="ListParagraph"/>
        <w:numPr>
          <w:ilvl w:val="0"/>
          <w:numId w:val="1"/>
        </w:numPr>
        <w:spacing w:after="90"/>
      </w:pPr>
      <w:r>
        <w:t>Bentley University UX Center — 'Designing Mobile Experiences with Seniors in Mind'</w:t>
      </w:r>
    </w:p>
    <w:p w14:paraId="24EAC0F9" w14:textId="77777777" w:rsidR="00FE54A7" w:rsidRDefault="00000000">
      <w:pPr>
        <w:pStyle w:val="ListParagraph"/>
        <w:numPr>
          <w:ilvl w:val="0"/>
          <w:numId w:val="1"/>
        </w:numPr>
        <w:spacing w:after="90"/>
      </w:pPr>
      <w:r>
        <w:t>AufaitUX — 'Designing Elder-Friendly UI/UX'</w:t>
      </w:r>
    </w:p>
    <w:p w14:paraId="5CF9C415" w14:textId="77777777" w:rsidR="00FE54A7" w:rsidRDefault="00000000">
      <w:pPr>
        <w:pStyle w:val="ListParagraph"/>
        <w:numPr>
          <w:ilvl w:val="0"/>
          <w:numId w:val="1"/>
        </w:numPr>
        <w:spacing w:after="90"/>
      </w:pPr>
      <w:r>
        <w:t>UX Collective (uxdesign.cc) — 'Designing for Older Audiences: Checklist + Best Practices'</w:t>
      </w:r>
    </w:p>
    <w:p w14:paraId="74E4393C" w14:textId="77777777" w:rsidR="00FE54A7" w:rsidRDefault="00000000">
      <w:pPr>
        <w:pStyle w:val="ListParagraph"/>
        <w:numPr>
          <w:ilvl w:val="0"/>
          <w:numId w:val="1"/>
        </w:numPr>
        <w:spacing w:after="90"/>
      </w:pPr>
      <w:r>
        <w:t>Sherwin-Williams / Dr. Marilyn Schneck — 'Color Perception and the Aging Eye'</w:t>
      </w:r>
    </w:p>
    <w:p w14:paraId="7274AA4E" w14:textId="77777777" w:rsidR="00FE54A7" w:rsidRDefault="00000000">
      <w:pPr>
        <w:pStyle w:val="ListParagraph"/>
        <w:numPr>
          <w:ilvl w:val="0"/>
          <w:numId w:val="1"/>
        </w:numPr>
        <w:spacing w:after="90"/>
      </w:pPr>
      <w:r>
        <w:t>NCBI/NIH Bookshelf — 'The Aging Eye' (Eyes on the Workplace)</w:t>
      </w:r>
    </w:p>
    <w:p w14:paraId="00B667C1" w14:textId="77777777" w:rsidR="00FE54A7" w:rsidRDefault="00000000">
      <w:pPr>
        <w:pStyle w:val="ListParagraph"/>
        <w:numPr>
          <w:ilvl w:val="0"/>
          <w:numId w:val="1"/>
        </w:numPr>
        <w:spacing w:after="90"/>
      </w:pPr>
      <w:r>
        <w:t>NCBI/PMC — 'Age-related changes in visual search: manipulation of colour cues' (Knoblauch et al. citation)</w:t>
      </w:r>
    </w:p>
    <w:p w14:paraId="70B6FC80" w14:textId="77777777" w:rsidR="00FE54A7" w:rsidRDefault="00000000">
      <w:pPr>
        <w:pStyle w:val="ListParagraph"/>
        <w:numPr>
          <w:ilvl w:val="0"/>
          <w:numId w:val="1"/>
        </w:numPr>
        <w:spacing w:after="90"/>
      </w:pPr>
      <w:r>
        <w:t>arXiv — GerontoVis: 'Data Visualization at the Confluence of Aging' (2024)</w:t>
      </w:r>
    </w:p>
    <w:p w14:paraId="3701ACD8" w14:textId="77777777" w:rsidR="00FE54A7" w:rsidRDefault="00000000">
      <w:pPr>
        <w:pStyle w:val="ListParagraph"/>
        <w:numPr>
          <w:ilvl w:val="0"/>
          <w:numId w:val="1"/>
        </w:numPr>
        <w:spacing w:after="90"/>
      </w:pPr>
      <w:r>
        <w:t>BrainHQ — 'Helping older adults overcome the challenges of technology' (fluid vs. crystallized intelligence)</w:t>
      </w:r>
    </w:p>
    <w:p w14:paraId="5650A087" w14:textId="77777777" w:rsidR="00FE54A7" w:rsidRDefault="00000000">
      <w:pPr>
        <w:pStyle w:val="ListParagraph"/>
        <w:numPr>
          <w:ilvl w:val="0"/>
          <w:numId w:val="1"/>
        </w:numPr>
        <w:spacing w:after="90"/>
      </w:pPr>
      <w:r>
        <w:t>PMC/NCBI — 'Who adapts to whom: technology or older adults? Mechanisms of technology anxiety among older AI users' (23% working memory figure)</w:t>
      </w:r>
    </w:p>
    <w:p w14:paraId="6E2B2E83" w14:textId="77777777" w:rsidR="00FE54A7" w:rsidRDefault="00000000">
      <w:pPr>
        <w:pStyle w:val="ListParagraph"/>
        <w:numPr>
          <w:ilvl w:val="0"/>
          <w:numId w:val="1"/>
        </w:numPr>
        <w:spacing w:after="90"/>
      </w:pPr>
      <w:r>
        <w:t>Science Advances — 'A strong dependency between changes in fluid and crystallized abilities in human cognitive aging'</w:t>
      </w:r>
    </w:p>
    <w:p w14:paraId="09A43EC5" w14:textId="77777777" w:rsidR="00FE54A7" w:rsidRDefault="00000000">
      <w:pPr>
        <w:pStyle w:val="ListParagraph"/>
        <w:numPr>
          <w:ilvl w:val="0"/>
          <w:numId w:val="1"/>
        </w:numPr>
        <w:spacing w:after="90"/>
      </w:pPr>
      <w:r>
        <w:t>BMC Public Health — 'Older adults' self-perception, technology anxiety, and intention to use digital public services' (2024)</w:t>
      </w:r>
    </w:p>
    <w:p w14:paraId="7D08C3AF" w14:textId="77777777" w:rsidR="00FE54A7" w:rsidRDefault="00000000">
      <w:pPr>
        <w:pStyle w:val="ListParagraph"/>
        <w:numPr>
          <w:ilvl w:val="0"/>
          <w:numId w:val="1"/>
        </w:numPr>
        <w:spacing w:after="90"/>
      </w:pPr>
      <w:r>
        <w:t>JMIR Aging — 'From Digital Anxiety to Empowerment in Older Adults' (2026)</w:t>
      </w:r>
    </w:p>
    <w:p w14:paraId="544812A6" w14:textId="77777777" w:rsidR="00FE54A7" w:rsidRDefault="00000000">
      <w:pPr>
        <w:pStyle w:val="ListParagraph"/>
        <w:numPr>
          <w:ilvl w:val="0"/>
          <w:numId w:val="1"/>
        </w:numPr>
        <w:spacing w:after="90"/>
      </w:pPr>
      <w:r>
        <w:t>ScienceDirect — 'Older Adults' Experiences Navigating Setup of Digital Health Technology: Implementation Report' (2026)</w:t>
      </w:r>
    </w:p>
    <w:p w14:paraId="6C0050BB" w14:textId="77777777" w:rsidR="00FE54A7" w:rsidRDefault="00000000">
      <w:pPr>
        <w:pStyle w:val="ListParagraph"/>
        <w:numPr>
          <w:ilvl w:val="0"/>
          <w:numId w:val="1"/>
        </w:numPr>
        <w:spacing w:after="90"/>
      </w:pPr>
      <w:r>
        <w:t>ResearchGate — 'Older adults' technology anxiety as a barrier to digital inclusion: a scoping review'</w:t>
      </w:r>
    </w:p>
    <w:p w14:paraId="6325FB62" w14:textId="77777777" w:rsidR="00FE54A7" w:rsidRDefault="00000000">
      <w:pPr>
        <w:pStyle w:val="ListParagraph"/>
        <w:numPr>
          <w:ilvl w:val="0"/>
          <w:numId w:val="1"/>
        </w:numPr>
        <w:spacing w:after="90"/>
      </w:pPr>
      <w:r>
        <w:t>arXiv — 'Not a Technology Person: Motivating Older Adults Toward the Use of Mobile Technology'</w:t>
      </w:r>
    </w:p>
    <w:p w14:paraId="4329DCB5" w14:textId="77777777" w:rsidR="00FE54A7" w:rsidRDefault="00000000">
      <w:pPr>
        <w:pStyle w:val="ListParagraph"/>
        <w:numPr>
          <w:ilvl w:val="0"/>
          <w:numId w:val="1"/>
        </w:numPr>
        <w:spacing w:after="90"/>
      </w:pPr>
      <w:r>
        <w:t>digital-start.org — 'Empowering Seniors in the Digital Age: Strategies for Successful Technology Adoption'</w:t>
      </w:r>
    </w:p>
    <w:p w14:paraId="3804DA21" w14:textId="77777777" w:rsidR="00FE54A7" w:rsidRDefault="00000000">
      <w:pPr>
        <w:pStyle w:val="ListParagraph"/>
        <w:numPr>
          <w:ilvl w:val="0"/>
          <w:numId w:val="1"/>
        </w:numPr>
        <w:spacing w:after="90"/>
      </w:pPr>
      <w:r>
        <w:t>Cadabra Studio — 'UX for Elderly Users: How to Design Patient-Friendly Interfaces'</w:t>
      </w:r>
    </w:p>
    <w:p w14:paraId="2D30FDAE" w14:textId="77777777" w:rsidR="00FE54A7" w:rsidRDefault="00000000">
      <w:pPr>
        <w:pStyle w:val="ListParagraph"/>
        <w:numPr>
          <w:ilvl w:val="0"/>
          <w:numId w:val="1"/>
        </w:numPr>
        <w:spacing w:after="90"/>
      </w:pPr>
      <w:r>
        <w:t>Springer — 'Senior Citizens Usage Towards and Perception of Modern Technology in India' (Bengaluru study)</w:t>
      </w:r>
    </w:p>
    <w:sectPr w:rsidR="00FE54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233"/>
    <w:multiLevelType w:val="hybridMultilevel"/>
    <w:tmpl w:val="6B226DF2"/>
    <w:lvl w:ilvl="0" w:tplc="6214F52E">
      <w:start w:val="1"/>
      <w:numFmt w:val="bullet"/>
      <w:lvlText w:val="•"/>
      <w:lvlJc w:val="left"/>
      <w:pPr>
        <w:ind w:left="360" w:hanging="260"/>
      </w:pPr>
    </w:lvl>
    <w:lvl w:ilvl="1" w:tplc="6D7C874C">
      <w:numFmt w:val="decimal"/>
      <w:lvlText w:val=""/>
      <w:lvlJc w:val="left"/>
    </w:lvl>
    <w:lvl w:ilvl="2" w:tplc="0F8CED56">
      <w:numFmt w:val="decimal"/>
      <w:lvlText w:val=""/>
      <w:lvlJc w:val="left"/>
    </w:lvl>
    <w:lvl w:ilvl="3" w:tplc="AD2E447C">
      <w:numFmt w:val="decimal"/>
      <w:lvlText w:val=""/>
      <w:lvlJc w:val="left"/>
    </w:lvl>
    <w:lvl w:ilvl="4" w:tplc="99E6866C">
      <w:numFmt w:val="decimal"/>
      <w:lvlText w:val=""/>
      <w:lvlJc w:val="left"/>
    </w:lvl>
    <w:lvl w:ilvl="5" w:tplc="7F266372">
      <w:numFmt w:val="decimal"/>
      <w:lvlText w:val=""/>
      <w:lvlJc w:val="left"/>
    </w:lvl>
    <w:lvl w:ilvl="6" w:tplc="7CE00122">
      <w:numFmt w:val="decimal"/>
      <w:lvlText w:val=""/>
      <w:lvlJc w:val="left"/>
    </w:lvl>
    <w:lvl w:ilvl="7" w:tplc="AD6CB938">
      <w:numFmt w:val="decimal"/>
      <w:lvlText w:val=""/>
      <w:lvlJc w:val="left"/>
    </w:lvl>
    <w:lvl w:ilvl="8" w:tplc="31143E48">
      <w:numFmt w:val="decimal"/>
      <w:lvlText w:val=""/>
      <w:lvlJc w:val="left"/>
    </w:lvl>
  </w:abstractNum>
  <w:abstractNum w:abstractNumId="1" w15:restartNumberingAfterBreak="0">
    <w:nsid w:val="72127447"/>
    <w:multiLevelType w:val="hybridMultilevel"/>
    <w:tmpl w:val="05DE7DAE"/>
    <w:lvl w:ilvl="0" w:tplc="03B6BEFE">
      <w:start w:val="1"/>
      <w:numFmt w:val="bullet"/>
      <w:lvlText w:val="●"/>
      <w:lvlJc w:val="left"/>
      <w:pPr>
        <w:ind w:left="720" w:hanging="360"/>
      </w:pPr>
    </w:lvl>
    <w:lvl w:ilvl="1" w:tplc="B1D85AAA">
      <w:start w:val="1"/>
      <w:numFmt w:val="bullet"/>
      <w:lvlText w:val="○"/>
      <w:lvlJc w:val="left"/>
      <w:pPr>
        <w:ind w:left="1440" w:hanging="360"/>
      </w:pPr>
    </w:lvl>
    <w:lvl w:ilvl="2" w:tplc="7EBC94A0">
      <w:start w:val="1"/>
      <w:numFmt w:val="bullet"/>
      <w:lvlText w:val="■"/>
      <w:lvlJc w:val="left"/>
      <w:pPr>
        <w:ind w:left="2160" w:hanging="360"/>
      </w:pPr>
    </w:lvl>
    <w:lvl w:ilvl="3" w:tplc="5F9688B6">
      <w:start w:val="1"/>
      <w:numFmt w:val="bullet"/>
      <w:lvlText w:val="●"/>
      <w:lvlJc w:val="left"/>
      <w:pPr>
        <w:ind w:left="2880" w:hanging="360"/>
      </w:pPr>
    </w:lvl>
    <w:lvl w:ilvl="4" w:tplc="4984A8A6">
      <w:start w:val="1"/>
      <w:numFmt w:val="bullet"/>
      <w:lvlText w:val="○"/>
      <w:lvlJc w:val="left"/>
      <w:pPr>
        <w:ind w:left="3600" w:hanging="360"/>
      </w:pPr>
    </w:lvl>
    <w:lvl w:ilvl="5" w:tplc="9262471C">
      <w:start w:val="1"/>
      <w:numFmt w:val="bullet"/>
      <w:lvlText w:val="■"/>
      <w:lvlJc w:val="left"/>
      <w:pPr>
        <w:ind w:left="4320" w:hanging="360"/>
      </w:pPr>
    </w:lvl>
    <w:lvl w:ilvl="6" w:tplc="7FB0F8F4">
      <w:start w:val="1"/>
      <w:numFmt w:val="bullet"/>
      <w:lvlText w:val="●"/>
      <w:lvlJc w:val="left"/>
      <w:pPr>
        <w:ind w:left="5040" w:hanging="360"/>
      </w:pPr>
    </w:lvl>
    <w:lvl w:ilvl="7" w:tplc="624C5338">
      <w:start w:val="1"/>
      <w:numFmt w:val="bullet"/>
      <w:lvlText w:val="●"/>
      <w:lvlJc w:val="left"/>
      <w:pPr>
        <w:ind w:left="5760" w:hanging="360"/>
      </w:pPr>
    </w:lvl>
    <w:lvl w:ilvl="8" w:tplc="174E6734">
      <w:start w:val="1"/>
      <w:numFmt w:val="bullet"/>
      <w:lvlText w:val="●"/>
      <w:lvlJc w:val="left"/>
      <w:pPr>
        <w:ind w:left="6480" w:hanging="360"/>
      </w:pPr>
    </w:lvl>
  </w:abstractNum>
  <w:num w:numId="1" w16cid:durableId="459956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4A7"/>
    <w:rsid w:val="000755A2"/>
    <w:rsid w:val="0090311C"/>
    <w:rsid w:val="00FE5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91A4"/>
  <w15:docId w15:val="{C853D456-195D-4497-BAA6-D1B30C9A3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311C"/>
    <w:pPr>
      <w:spacing w:after="100"/>
    </w:pPr>
  </w:style>
  <w:style w:type="paragraph" w:styleId="TOC2">
    <w:name w:val="toc 2"/>
    <w:basedOn w:val="Normal"/>
    <w:next w:val="Normal"/>
    <w:autoRedefine/>
    <w:uiPriority w:val="39"/>
    <w:unhideWhenUsed/>
    <w:rsid w:val="0090311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4584</Words>
  <Characters>26135</Characters>
  <Application>Microsoft Office Word</Application>
  <DocSecurity>0</DocSecurity>
  <Lines>217</Lines>
  <Paragraphs>61</Paragraphs>
  <ScaleCrop>false</ScaleCrop>
  <Company/>
  <LinksUpToDate>false</LinksUpToDate>
  <CharactersWithSpaces>30658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Onboarding &amp; Psychology-Driven Design System</dc:title>
  <dc:creator>Research Compilation</dc:creator>
  <cp:lastModifiedBy>vibhor jain</cp:lastModifiedBy>
  <cp:revision>2</cp:revision>
  <dcterms:created xsi:type="dcterms:W3CDTF">2026-09-04T06:22:00Z</dcterms:created>
  <dcterms:modified xsi:type="dcterms:W3CDTF">2026-09-06T07:05:00Z</dcterms:modified>
</cp:coreProperties>
</file>