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do not agree with the proposition that microservices and microkernels constitute the inevitable future of software architecture. This claim oversimplifies what is, in essence, a context-dependent design problem. Both historical debates and recent literature demonstrate that architectural choices are primarily determined by system requirements, scale, and organisational context, rather than by the presumed superiority of a single approach.</w:t>
        <w:br w:type="textWrapping"/>
        <w:br w:type="textWrapping"/>
        <w:t xml:space="preserve">Valente (2024, ch. 7.4) positions microservices as one of several architectural styles within software engineering. Although this approach offers advantages such as independent deployability and better alignment with business capabilities, it also introduces significant complexity. This includes operational overhead, distributed failure modes, and increased requirements for observability. Gandhi, Richards, and Ford (2024) emphasise that architectural design is concerned with balancing competing quality attributes, such as performance, maintainability, and security, rather than following technological trends.</w:t>
        <w:br w:type="textWrapping"/>
        <w:br w:type="textWrapping"/>
        <w:t xml:space="preserve">A similar line of reasoning applies to microkernels. These can provide strong modularity and fault isolation, but also introduce performance overhead and additional complexity due to inter-process communication. The critique of Torvalds therefore remains relevant, as it highlights the practical costs of such abstractions.</w:t>
        <w:br w:type="textWrapping"/>
        <w:t xml:space="preserve">The “future” of software architecture does not lie in a single dominant style, but in the ability to critically analyse system requirements and select an appropriate architecture—monolithic, distributed, or hybrid.</w:t>
      </w:r>
    </w:p>
    <w:p w:rsidR="00000000" w:rsidDel="00000000" w:rsidP="00000000" w:rsidRDefault="00000000" w:rsidRPr="00000000" w14:paraId="00000002">
      <w:pPr>
        <w:spacing w:after="240" w:before="240" w:line="36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3">
      <w:pPr>
        <w:spacing w:line="360" w:lineRule="auto"/>
        <w:rPr>
          <w:sz w:val="24"/>
          <w:szCs w:val="24"/>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