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480" w:lineRule="auto"/>
        <w:jc w:val="center"/>
        <w:rPr>
          <w:rFonts w:ascii="Times New Roman" w:cs="Times New Roman" w:eastAsia="Times New Roman" w:hAnsi="Times New Roman"/>
          <w:b w:val="1"/>
          <w:bCs w:val="1"/>
          <w:sz w:val="32"/>
          <w:szCs w:val="32"/>
        </w:rPr>
      </w:pPr>
      <w:bookmarkStart w:colFirst="0" w:colLast="0" w:name="_liwt4kx5d1h2" w:id="0"/>
      <w:bookmarkEnd w:id="0"/>
      <w:r w:rsidDel="00000000" w:rsidR="00000000" w:rsidRPr="00000000">
        <w:rPr>
          <w:rFonts w:ascii="Times New Roman" w:cs="Times New Roman" w:eastAsia="Times New Roman" w:hAnsi="Times New Roman"/>
          <w:b w:val="1"/>
          <w:bCs w:val="1"/>
          <w:sz w:val="32"/>
          <w:szCs w:val="32"/>
          <w:rtl w:val="0"/>
        </w:rPr>
        <w:t xml:space="preserve">Delivering a Competitive Microcomputer: Synputer Project Planning and Execution</w:t>
      </w:r>
    </w:p>
    <w:p w:rsidR="00000000" w:rsidDel="00000000" w:rsidP="00000000" w:rsidRDefault="00000000" w:rsidRPr="00000000" w14:paraId="00000002">
      <w:pP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Software Engineering Project Management</w:t>
      </w:r>
    </w:p>
    <w:p w:rsidR="00000000" w:rsidDel="00000000" w:rsidP="00000000" w:rsidRDefault="00000000" w:rsidRPr="00000000" w14:paraId="00000003">
      <w:pP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2: </w:t>
      </w:r>
      <w:r w:rsidDel="00000000" w:rsidR="00000000" w:rsidRPr="00000000">
        <w:rPr>
          <w:rFonts w:ascii="Times New Roman" w:cs="Times New Roman" w:eastAsia="Times New Roman" w:hAnsi="Times New Roman"/>
          <w:sz w:val="24"/>
          <w:szCs w:val="24"/>
          <w:rtl w:val="0"/>
        </w:rPr>
        <w:t xml:space="preserve">Ruben Marques, Lauren Pechey, Victor Angelier, Arianna Poverini, Hristo Todorov</w:t>
      </w:r>
    </w:p>
    <w:p w:rsidR="00000000" w:rsidDel="00000000" w:rsidP="00000000" w:rsidRDefault="00000000" w:rsidRPr="00000000" w14:paraId="00000004">
      <w:pP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w:t>
      </w:r>
      <w:r w:rsidDel="00000000" w:rsidR="00000000" w:rsidRPr="00000000">
        <w:rPr>
          <w:rFonts w:ascii="Times New Roman" w:cs="Times New Roman" w:eastAsia="Times New Roman" w:hAnsi="Times New Roman"/>
          <w:sz w:val="24"/>
          <w:szCs w:val="24"/>
          <w:rtl w:val="0"/>
        </w:rPr>
        <w:t xml:space="preserve">Masters of Computer Science, University of Essex Online</w:t>
      </w:r>
    </w:p>
    <w:p w:rsidR="00000000" w:rsidDel="00000000" w:rsidP="00000000" w:rsidRDefault="00000000" w:rsidRPr="00000000" w14:paraId="00000005">
      <w:pP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Tutor: </w:t>
      </w:r>
      <w:r w:rsidDel="00000000" w:rsidR="00000000" w:rsidRPr="00000000">
        <w:rPr>
          <w:rFonts w:ascii="Times New Roman" w:cs="Times New Roman" w:eastAsia="Times New Roman" w:hAnsi="Times New Roman"/>
          <w:sz w:val="24"/>
          <w:szCs w:val="24"/>
          <w:rtl w:val="0"/>
        </w:rPr>
        <w:t xml:space="preserve">Douglas Millward</w:t>
      </w:r>
    </w:p>
    <w:p w:rsidR="00000000" w:rsidDel="00000000" w:rsidP="00000000" w:rsidRDefault="00000000" w:rsidRPr="00000000" w14:paraId="00000006">
      <w:pPr>
        <w:spacing w:after="1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01/12/2025</w:t>
      </w:r>
      <w:r w:rsidDel="00000000" w:rsidR="00000000" w:rsidRPr="00000000">
        <w:rPr>
          <w:rFonts w:ascii="Times New Roman" w:cs="Times New Roman" w:eastAsia="Times New Roman" w:hAnsi="Times New Roman"/>
          <w:b w:val="1"/>
          <w:bCs w:val="1"/>
          <w:sz w:val="24"/>
          <w:szCs w:val="24"/>
          <w:highlight w:val="yellow"/>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7">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v14ssistkixx" w:id="1"/>
      <w:bookmarkEnd w:id="1"/>
      <w:r w:rsidDel="00000000" w:rsidR="00000000" w:rsidRPr="00000000">
        <w:rPr>
          <w:rFonts w:ascii="Times New Roman" w:cs="Times New Roman" w:eastAsia="Times New Roman" w:hAnsi="Times New Roman"/>
          <w:b w:val="1"/>
          <w:bCs w:val="1"/>
          <w:sz w:val="24"/>
          <w:szCs w:val="24"/>
          <w:rtl w:val="0"/>
        </w:rPr>
        <w:t xml:space="preserve">Executive Summary &amp; Introduction</w:t>
      </w:r>
    </w:p>
    <w:p w:rsidR="00000000" w:rsidDel="00000000" w:rsidP="00000000" w:rsidRDefault="00000000" w:rsidRPr="00000000" w14:paraId="000000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Synputer project - originating from Colin Syn and Will Burns and refined through subsequent technical analysis - aims to deliver a competitive microcomputer within a £500,000 budget and 13-month schedule. Achieving the objectives with a focus on industry-standard compatibility and business functionality by defining feasible requirements, resolving stakeholder conflicts, and establishing a realistic architecture that aligns technical ambition with commercial and operational constraints.</w:t>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Methodology </w:t>
      </w:r>
    </w:p>
    <w:p w:rsidR="00000000" w:rsidDel="00000000" w:rsidP="00000000" w:rsidRDefault="00000000" w:rsidRPr="00000000" w14:paraId="0000000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Agile Software Development Life Cycle integrates Scrum sprints with formal stage-gates to manage hardware-software complexity while maintaining flexibility and governance. Behaviour-driven development ensures clear, testable requirements, reducing ambiguity and rework while maintaining control over cost, schedule, and hardware–software integration risks.</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 Requirements </w:t>
      </w:r>
    </w:p>
    <w:p w:rsidR="00000000" w:rsidDel="00000000" w:rsidP="00000000" w:rsidRDefault="00000000" w:rsidRPr="00000000" w14:paraId="0000000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requirements prioritise feasibility: industry-standard OS, removable storage, expansion capability, TeleBasic compatibility, and essential connectivity. Core technical foundations include a Motorola 68k CPU, 512KB RAM, and desktop format, while high-risk features such as portability and proprietary technologies are removed to meet budget and time limits. </w:t>
      </w:r>
    </w:p>
    <w:p w:rsidR="00000000" w:rsidDel="00000000" w:rsidP="00000000" w:rsidRDefault="00000000" w:rsidRPr="00000000" w14:paraId="000000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Plan and Budget </w:t>
      </w:r>
    </w:p>
    <w:p w:rsidR="00000000" w:rsidDel="00000000" w:rsidP="00000000" w:rsidRDefault="00000000" w:rsidRPr="00000000" w14:paraId="0000000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13-month plan allocates time for design, assembly, integration, testing, and refactoring, supported by iterative sprints and stage-gated oversight. Budget distribution—hardware, software, labour, and contingencies—ensures disciplined resource use and supports reliable delivery within financial and temporal constraints.</w:t>
      </w:r>
    </w:p>
    <w:p w:rsidR="00000000" w:rsidDel="00000000" w:rsidP="00000000" w:rsidRDefault="00000000" w:rsidRPr="00000000" w14:paraId="00000010">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rskz9yy4y6cj" w:id="2"/>
      <w:bookmarkEnd w:id="2"/>
      <w:r w:rsidDel="00000000" w:rsidR="00000000" w:rsidRPr="00000000">
        <w:rPr>
          <w:rFonts w:ascii="Times New Roman" w:cs="Times New Roman" w:eastAsia="Times New Roman" w:hAnsi="Times New Roman"/>
          <w:b w:val="1"/>
          <w:bCs w:val="1"/>
          <w:sz w:val="24"/>
          <w:szCs w:val="24"/>
          <w:rtl w:val="0"/>
        </w:rPr>
        <w:t xml:space="preserve">Stakeholder Requirements, Assumptions &amp; Gaps</w:t>
      </w:r>
    </w:p>
    <w:p w:rsidR="00000000" w:rsidDel="00000000" w:rsidP="00000000" w:rsidRDefault="00000000" w:rsidRPr="00000000" w14:paraId="0000001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requirements extracted from the transcript between Colin Syn (Synful) and Will Burns (EDC) establish expectations on portability, backward compatibility, and affordability (Kancharla, 2025). </w:t>
      </w: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summarises extracted requirements alongside corresponding success criteria, providing a structured baseline for evaluating system feasibility and performance targets.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9433681073024"/>
        <w:gridCol w:w="3766.3189269746645"/>
        <w:gridCol w:w="3375.7377049180327"/>
        <w:tblGridChange w:id="0">
          <w:tblGrid>
            <w:gridCol w:w="2217.9433681073024"/>
            <w:gridCol w:w="3766.3189269746645"/>
            <w:gridCol w:w="3375.7377049180327"/>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Extracted Requirements (Findings/Analysis)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 (HW &amp; SW)</w:t>
            </w:r>
            <w:r w:rsidDel="00000000" w:rsidR="00000000" w:rsidRPr="00000000">
              <w:rPr>
                <w:rtl w:val="0"/>
              </w:rPr>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Extract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w:t>
            </w:r>
            <w:r w:rsidDel="00000000" w:rsidR="00000000" w:rsidRPr="00000000">
              <w:rPr>
                <w:rFonts w:ascii="Gungsuh" w:cs="Gungsuh" w:eastAsia="Gungsuh" w:hAnsi="Gungsuh"/>
                <w:sz w:val="24"/>
                <w:szCs w:val="24"/>
                <w:rtl w:val="0"/>
              </w:rPr>
              <w:t xml:space="preserve">Motorola 68k CPU; ≥512KB RAM; expandable memory; solid-state storage; 4-inch monochrome display; serial/keyboard/external display/joystick ports; &lt;2kg weight; ≥2-hour battery life. </w:t>
              <w:br w:type="textWrapping"/>
            </w:r>
            <w:r w:rsidDel="00000000" w:rsidR="00000000" w:rsidRPr="00000000">
              <w:rPr>
                <w:rFonts w:ascii="Times New Roman" w:cs="Times New Roman" w:eastAsia="Times New Roman" w:hAnsi="Times New Roman"/>
                <w:b w:val="1"/>
                <w:bCs w:val="1"/>
                <w:sz w:val="24"/>
                <w:szCs w:val="24"/>
                <w:rtl w:val="0"/>
              </w:rPr>
              <w:t xml:space="preserve">Software: </w:t>
            </w:r>
            <w:r w:rsidDel="00000000" w:rsidR="00000000" w:rsidRPr="00000000">
              <w:rPr>
                <w:rFonts w:ascii="Times New Roman" w:cs="Times New Roman" w:eastAsia="Times New Roman" w:hAnsi="Times New Roman"/>
                <w:sz w:val="24"/>
                <w:szCs w:val="24"/>
                <w:rtl w:val="0"/>
              </w:rPr>
              <w:t xml:space="preserve">Unix-like multitasking OS; bundled productivity suite; HyperBasic with TeleBasic converter; affordability and backward compatibility.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Gungsuh" w:cs="Gungsuh" w:eastAsia="Gungsuh" w:hAnsi="Gungsuh"/>
                <w:sz w:val="24"/>
                <w:szCs w:val="24"/>
                <w:rtl w:val="0"/>
              </w:rPr>
              <w:t xml:space="preserve">: Device ≤2kg; ≥2-hour battery; compatible with business peripherals. </w:t>
              <w:br w:type="textWrapping"/>
            </w: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Stable Unix-like OS; bundled apps run concurrently; HB converter runs TeleBasic programs with no functional errors; project meets £500,000 budget and 13-month timeline.</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Facilitate HW/SW Integration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hardware interfaces with OS and HyperBasic; define emulator performance; verify I/O interactions.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boots reliably; OS loads; HB and productivity apps run concurrently (Koelsch, 2023).</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Translate Requirements into User Stories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emphasise portability, performance, compatibility, and usability.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Targets met: ≤2kg device, ≥2-hour battery, HB backward compatibility demonstrated.</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Resolve Sprint Retros &amp; Blockers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TeleBasic licensing; obtain missing OS documentation; unblock development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blockers resolved before sprint closure.</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Validate UAT Readiness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includes HB converter testing, hardware validation, stress testing, and usability checks.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stories pass acceptance criteria; prototype meets benchmarks; EDC approval granted (Koelsch, 2023).</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Contribute to Project Report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requirements matrix, risk assessment, and traceability evidence from requirements to UAT.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auditable documentation that meets governance standards.</w:t>
            </w:r>
          </w:p>
        </w:tc>
      </w:tr>
    </w:tbl>
    <w:p w:rsidR="00000000" w:rsidDel="00000000" w:rsidP="00000000" w:rsidRDefault="00000000" w:rsidRPr="00000000" w14:paraId="00000027">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Extracted Requirements &amp; Success Criteria</w:t>
      </w:r>
    </w:p>
    <w:p w:rsidR="00000000" w:rsidDel="00000000" w:rsidP="00000000" w:rsidRDefault="00000000" w:rsidRPr="00000000" w14:paraId="000000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many elements of the requirement set rely on unverified assumptions—such as the availability of a Unix-like OS, the feasibility of TeleBasic-to-HyperBasic conversion, and reliance on existing Synful architecture. These areas introduce uncertainty and potential risk within the strict £500,000 budget and 13-month delivery window (Koelsch, 2023). Addressing uncertainties early is essential to ensure the proposed Motorola 68k-based portable system can be delivered reliably and integrated successfully (Marnada et al., 2022). </w:t>
      </w: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details the key assumptions and gaps identified.</w:t>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7335"/>
        <w:tblGridChange w:id="0">
          <w:tblGrid>
            <w:gridCol w:w="2385"/>
            <w:gridCol w:w="733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 &amp; Gaps Identified</w:t>
            </w:r>
            <w:r w:rsidDel="00000000" w:rsidR="00000000" w:rsidRPr="00000000">
              <w:rPr>
                <w:rtl w:val="0"/>
              </w:rPr>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Extract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confirmed Unix OS supplier; unclear licensing; no battery or QA specifications; informal vendor relationships; missing performance metrics; undefined target market (Koelsch, 2023).</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Assumptions &amp; Gaps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Synful architecture; informal agreements with software vendors; no integration protocol documentation; no testing strategy.</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Facilitate HW/SW Integration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between OS, HB interpreter, and hardware drivers require validation (Koelsch, 2023).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Translate Requirements into User Stories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CPU power, and storage performance not yet validated.</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Resolve Sprint Retros &amp; Blockers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delays may affect OS or hardware milestones (Kancharla, 2025).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Validate UAT Readiness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hardware and software must exist before UAT; schedule risk if components slip.</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Contribute to Project Report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updates reliant on timely clarification from suppliers and engineering teams.</w:t>
            </w:r>
          </w:p>
        </w:tc>
      </w:tr>
    </w:tbl>
    <w:p w:rsidR="00000000" w:rsidDel="00000000" w:rsidP="00000000" w:rsidRDefault="00000000" w:rsidRPr="00000000" w14:paraId="00000039">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Assumptions &amp; Gaps</w:t>
      </w:r>
    </w:p>
    <w:p w:rsidR="00000000" w:rsidDel="00000000" w:rsidP="00000000" w:rsidRDefault="00000000" w:rsidRPr="00000000" w14:paraId="0000003A">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nbojetqmikq9" w:id="3"/>
      <w:bookmarkEnd w:id="3"/>
      <w:r w:rsidDel="00000000" w:rsidR="00000000" w:rsidRPr="00000000">
        <w:rPr>
          <w:rFonts w:ascii="Times New Roman" w:cs="Times New Roman" w:eastAsia="Times New Roman" w:hAnsi="Times New Roman"/>
          <w:b w:val="1"/>
          <w:bCs w:val="1"/>
          <w:sz w:val="24"/>
          <w:szCs w:val="24"/>
          <w:rtl w:val="0"/>
        </w:rPr>
        <w:t xml:space="preserve">Proposed Development Methodology</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Methodology Statement – Synputer Development Project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Synputer project demands an integrated hardware–software lifecycle within strict constraints (thirteen months, £500.000 budget). Pure Waterfall models lack agility for rapidly evolving firmware (Ford et al., 2025); conversely, pure Agile cannot accommodate fixed hardware lead-times typical of component procurement (Andres, 2025; RayMing PCB, 2024). The team therefore adopted a Hybrid Agile SDLC combining two-week Scrum sprints with formal stage-gates for design and integration. This provides flexibility for software innovation whilst maintaining the rigour required for hardware manufacturing.</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Structure:</w:t>
      </w:r>
    </w:p>
    <w:p w:rsidR="00000000" w:rsidDel="00000000" w:rsidP="00000000" w:rsidRDefault="00000000" w:rsidRPr="00000000" w14:paraId="0000003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Requirements &amp; Feasibility Gate</w:t>
      </w:r>
      <w:r w:rsidDel="00000000" w:rsidR="00000000" w:rsidRPr="00000000">
        <w:rPr>
          <w:rFonts w:ascii="Times New Roman" w:cs="Times New Roman" w:eastAsia="Times New Roman" w:hAnsi="Times New Roman"/>
          <w:sz w:val="24"/>
          <w:szCs w:val="24"/>
          <w:rtl w:val="0"/>
        </w:rPr>
        <w:t xml:space="preserve"> – Stakeholder needs validated against Hardware and Software BOMs.</w:t>
      </w:r>
    </w:p>
    <w:p w:rsidR="00000000" w:rsidDel="00000000" w:rsidP="00000000" w:rsidRDefault="00000000" w:rsidRPr="00000000" w14:paraId="0000003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Design &amp; Architecture Gate</w:t>
      </w:r>
      <w:r w:rsidDel="00000000" w:rsidR="00000000" w:rsidRPr="00000000">
        <w:rPr>
          <w:rFonts w:ascii="Times New Roman" w:cs="Times New Roman" w:eastAsia="Times New Roman" w:hAnsi="Times New Roman"/>
          <w:sz w:val="24"/>
          <w:szCs w:val="24"/>
          <w:rtl w:val="0"/>
        </w:rPr>
        <w:t xml:space="preserve"> – System architectures peer-reviewed before procurement.</w:t>
      </w:r>
    </w:p>
    <w:p w:rsidR="00000000" w:rsidDel="00000000" w:rsidP="00000000" w:rsidRDefault="00000000" w:rsidRPr="00000000" w14:paraId="0000004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Incremental Development Sprints</w:t>
      </w:r>
      <w:r w:rsidDel="00000000" w:rsidR="00000000" w:rsidRPr="00000000">
        <w:rPr>
          <w:rFonts w:ascii="Times New Roman" w:cs="Times New Roman" w:eastAsia="Times New Roman" w:hAnsi="Times New Roman"/>
          <w:sz w:val="24"/>
          <w:szCs w:val="24"/>
          <w:rtl w:val="0"/>
        </w:rPr>
        <w:t xml:space="preserve"> – Two-week sprints deliver firmware/UI modules, ending with sprint review (60 min) and retrospective (90 min).</w:t>
      </w:r>
    </w:p>
    <w:p w:rsidR="00000000" w:rsidDel="00000000" w:rsidP="00000000" w:rsidRDefault="00000000" w:rsidRPr="00000000" w14:paraId="0000004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Integration &amp; Test Gate</w:t>
      </w:r>
      <w:r w:rsidDel="00000000" w:rsidR="00000000" w:rsidRPr="00000000">
        <w:rPr>
          <w:rFonts w:ascii="Times New Roman" w:cs="Times New Roman" w:eastAsia="Times New Roman" w:hAnsi="Times New Roman"/>
          <w:sz w:val="24"/>
          <w:szCs w:val="24"/>
          <w:rtl w:val="0"/>
        </w:rPr>
        <w:t xml:space="preserve"> – Hardware prototypes and software builds verified via Behaviour-Driven Development tests.</w:t>
      </w:r>
    </w:p>
    <w:p w:rsidR="00000000" w:rsidDel="00000000" w:rsidP="00000000" w:rsidRDefault="00000000" w:rsidRPr="00000000" w14:paraId="0000004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 Acceptance &amp; Handover Gate</w:t>
      </w:r>
      <w:r w:rsidDel="00000000" w:rsidR="00000000" w:rsidRPr="00000000">
        <w:rPr>
          <w:rFonts w:ascii="Times New Roman" w:cs="Times New Roman" w:eastAsia="Times New Roman" w:hAnsi="Times New Roman"/>
          <w:sz w:val="24"/>
          <w:szCs w:val="24"/>
          <w:rtl w:val="0"/>
        </w:rPr>
        <w:t xml:space="preserve"> – Final validation and release.</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Justification: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delivers both flexibility (Agile iterations) and governance (stage-gates). Bi-weekly retrospectives are essential: fixed-budget projects tolerate no waste. Durham and Michel (2021) emphasise that Lean feedback loops eliminate inefficiency; Agrawal et al. (2024) show 31 per cent of design errors stem from knowledge gaps, which structured retros mitigate through same-sprint corrective action. Brooks (1975) warns that late project expansion delays delivery—our stable, cross-functional teams avoid this trap. ISO/IEC/IEEE 16326 (2019) mandates defined gates for auditability; Scrum reviews allow stakeholder inspection, preventing uncontrolled scope creep. Retrospectives are vital for hardware–software integration: when pin-mapping or ULA–CPU design assumptions fail, a retro allows same-sprint mitigation instead of costly redesigns months later.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Iterative sprints shorten feedback cycles whilst gate reviews and retrospectives maintain accountability, knowledge capture, and cost control, directly supporting delivery within fixed financial and temporal constraints. For exam[ple, in Sprint 2, a retro revealed the HyperBasic compiler failed on 512 KB systems (knowledge-gap error). A Definition-of-Done update enforced memory-constrained testing. This four-hour fix prevented a week-long redesign, demonstrating clear ROI.</w:t>
      </w:r>
      <w:r w:rsidDel="00000000" w:rsidR="00000000" w:rsidRPr="00000000">
        <w:rPr>
          <w:rtl w:val="0"/>
        </w:rPr>
      </w:r>
    </w:p>
    <w:p w:rsidR="00000000" w:rsidDel="00000000" w:rsidP="00000000" w:rsidRDefault="00000000" w:rsidRPr="00000000" w14:paraId="0000004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both"/>
        <w:rPr>
          <w:rFonts w:ascii="Times New Roman" w:cs="Times New Roman" w:eastAsia="Times New Roman" w:hAnsi="Times New Roman"/>
          <w:b w:val="1"/>
          <w:bCs w:val="1"/>
          <w:sz w:val="24"/>
          <w:szCs w:val="24"/>
        </w:rPr>
      </w:pPr>
      <w:bookmarkStart w:colFirst="0" w:colLast="0" w:name="_jf76x1mr7gvw" w:id="4"/>
      <w:bookmarkEnd w:id="4"/>
      <w:r w:rsidDel="00000000" w:rsidR="00000000" w:rsidRPr="00000000">
        <w:rPr>
          <w:rFonts w:ascii="Times New Roman" w:cs="Times New Roman" w:eastAsia="Times New Roman" w:hAnsi="Times New Roman"/>
          <w:b w:val="1"/>
          <w:bCs w:val="1"/>
          <w:sz w:val="24"/>
          <w:szCs w:val="24"/>
          <w:rtl w:val="0"/>
        </w:rPr>
        <w:t xml:space="preserve">Requirements and Behavioural Specifications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Functional &amp; Non-Functional Requirements (MoSCow)</w:t>
      </w:r>
    </w:p>
    <w:p w:rsidR="00000000" w:rsidDel="00000000" w:rsidP="00000000" w:rsidRDefault="00000000" w:rsidRPr="00000000" w14:paraId="000000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gathered requirements against technical feasibility, stakeholder priority and constraints reveals significant gaps between initial vision and realistic delivery (Ali et al., 2020). </w:t>
      </w:r>
    </w:p>
    <w:p w:rsidR="00000000" w:rsidDel="00000000" w:rsidP="00000000" w:rsidRDefault="00000000" w:rsidRPr="00000000" w14:paraId="000000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and battery targets are unachievable: the 2kg portable specification cannot be met (minimum viable hardware requires 3.35kg), and battery life delivers only 15-20 minutes against a 2 hour requirement. </w:t>
      </w:r>
    </w:p>
    <w:p w:rsidR="00000000" w:rsidDel="00000000" w:rsidP="00000000" w:rsidRDefault="00000000" w:rsidRPr="00000000" w14:paraId="000000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conflict exists between Syn's portability preference and Burns' requirement for industry standard compatibility. EDC's takes precedence given £500,000 funding and the business market focus. Risk concentration is evident in assigning Synful's small team (1 architect, 2 engineers) responsibility for multiple complex features within 13 months. </w:t>
      </w:r>
    </w:p>
    <w:p w:rsidR="00000000" w:rsidDel="00000000" w:rsidP="00000000" w:rsidRDefault="00000000" w:rsidRPr="00000000" w14:paraId="000000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GUI gap: bundled graphics applications require GUI, yet available OS are CLI-based, making graphics packages non-functional and office tools severely limited. Resolving this is essential for commercial viability. </w:t>
      </w:r>
    </w:p>
    <w:p w:rsidR="00000000" w:rsidDel="00000000" w:rsidP="00000000" w:rsidRDefault="00000000" w:rsidRPr="00000000" w14:paraId="0000004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presents revised requirements using MoSCoW prioritisation (Kravchenko et al., 2022), establishing criteria for project success.</w:t>
      </w:r>
    </w:p>
    <w:tbl>
      <w:tblPr>
        <w:tblStyle w:val="Table3"/>
        <w:tblW w:w="939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50"/>
        <w:gridCol w:w="2475"/>
        <w:gridCol w:w="4275"/>
        <w:tblGridChange w:id="0">
          <w:tblGrid>
            <w:gridCol w:w="1590"/>
            <w:gridCol w:w="1050"/>
            <w:gridCol w:w="2475"/>
            <w:gridCol w:w="4275"/>
          </w:tblGrid>
        </w:tblGridChange>
      </w:tblGrid>
      <w:tr>
        <w:trPr>
          <w:cantSplit w:val="0"/>
          <w:trHeight w:val="27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Standard 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run a third-party, industry-standard, multi-tasking OS (e.g., MccOS or 68kDOS).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Critical: Main requirement from the primary financial backer (EDC, which resolves the core strategic conflict.</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Removable 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include at least one industry-standard removable drive (e.g., a 3.5" floppy 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Critical: A non-negotiable requirement from EDC to ensure business data can be exchanged with other systems.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Expandable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must allow for the addition of expansion packs via slots.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future-proofing and a key feature of competitors ( exact number/type of need negotiation to meet cost targets.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Keyboard Support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must have a dedicated port for an external keyboard, and a physical keyboard will be supplied.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Critical: A firm requirement from Will Burns for a business machine; its absence would be a breach of contract.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TeleBasic Compatibility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run existing TeleBasic programs without requiring users to manually convert or rewrite them.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Critical: A key requirement from EDC to ensure a seamless migration path for their existing customers.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Bundled Office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office productivity suite will be licensed and pre-installed on the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Proposition Critical: The key software feature that makes the Synputer a complete 'out-of-the-box' business solution.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Multi-Connectivity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a minimum of 2 serial ports and an external display connector.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Critical: These are specific technical requirements from EDC for business networking and peripheral support.</w:t>
            </w:r>
          </w:p>
        </w:tc>
      </w:tr>
      <w:tr>
        <w:trPr>
          <w:cantSplit w:val="0"/>
          <w:trHeight w:val="78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 FUNCTIONAL REQUIREMENTS</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Form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designed in desktop format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Necessary: Portable concept with &lt;=2kg of weight is impossible to achieve.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512KB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motherboard will be equipped with at least 512KB of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Critical: A non-negotiable technical specification from EDC, required to run the target multi-tasking OS effectively.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Motorola 68k Series 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powered by a CPU from the Motorola 68k family.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Foundational: A core technology decision agreed by both stakeholders that dictates the machine's performance and future compatibility.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A plan must be developed to port or create a GUI environment for the chosen 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Usability: Necessary to make the bundled office suite fully functional and meet modern user expectations.</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Emulator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that allows the Synputer to play games from older Synful Computing machines.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secondary goal that serves the retail market. This can be deferred to a post-launch software release to reduce initial project risk and cost.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Joystick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port to connect a standard joystick for gaming.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desirable feature for the secondary gaming market, but not essential for the core business product. Can be added via an expansion card.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Form Factor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concept for a portable machine with a built-in screen and battery.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 to be technically impossible by the weight and battery life data in the case study.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OS / HyperBasic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to develop a proprietary OS, programming language, and converter from scratch.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an unacceptable level of risk to the project's timeline and budget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Solid-State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to invent a new solid-state storage 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unproven, high-risk R&amp;D effort that is not feasible within the project's constraints.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1">
      <w:pPr>
        <w:spacing w:after="240" w:before="240" w:line="48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Functional &amp; Non-Functional Requirements</w:t>
      </w:r>
    </w:p>
    <w:p w:rsidR="00000000" w:rsidDel="00000000" w:rsidP="00000000" w:rsidRDefault="00000000" w:rsidRPr="00000000" w14:paraId="000000A2">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pumld4c07rro" w:id="5"/>
      <w:bookmarkEnd w:id="5"/>
      <w:r w:rsidDel="00000000" w:rsidR="00000000" w:rsidRPr="00000000">
        <w:rPr>
          <w:rFonts w:ascii="Times New Roman" w:cs="Times New Roman" w:eastAsia="Times New Roman" w:hAnsi="Times New Roman"/>
          <w:b w:val="1"/>
          <w:bCs w:val="1"/>
          <w:sz w:val="24"/>
          <w:szCs w:val="24"/>
          <w:rtl w:val="0"/>
        </w:rPr>
        <w:t xml:space="preserve">Gherkin’s Behavioural Scenarios</w:t>
      </w:r>
    </w:p>
    <w:p w:rsidR="00000000" w:rsidDel="00000000" w:rsidP="00000000" w:rsidRDefault="00000000" w:rsidRPr="00000000" w14:paraId="000000A3">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translate high-priority functional requirements into testable system behaviour, Gherkin-based acceptance scenarios were created (Budihal, 2025). These scenarios specify system interactions using the BDD ‘Given–When–Then’ structure, ensuring clarity, traceability, and alignment between stakeholders, developers and testers (Budihal, 2025), as shown in </w:t>
      </w:r>
      <w:r w:rsidDel="00000000" w:rsidR="00000000" w:rsidRPr="00000000">
        <w:rPr>
          <w:rFonts w:ascii="Times New Roman" w:cs="Times New Roman" w:eastAsia="Times New Roman" w:hAnsi="Times New Roman"/>
          <w:b w:val="1"/>
          <w:bCs w:val="1"/>
          <w:sz w:val="24"/>
          <w:szCs w:val="24"/>
          <w:rtl w:val="0"/>
        </w:rPr>
        <w:t xml:space="preserve">Table 4.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999999999998"/>
        <w:gridCol w:w="3303"/>
        <w:gridCol w:w="4329"/>
        <w:tblGridChange w:id="0">
          <w:tblGrid>
            <w:gridCol w:w="1727.9999999999998"/>
            <w:gridCol w:w="3303"/>
            <w:gridCol w:w="4329"/>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 Requirement Area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Stories (Business / Functional Perspective)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Gherkin Scenarios (Testable Specifications)</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Synputer Hardware Requirements</w:t>
            </w:r>
          </w:p>
          <w:p w:rsidR="00000000" w:rsidDel="00000000" w:rsidP="00000000" w:rsidRDefault="00000000" w:rsidRPr="00000000" w14:paraId="000000AA">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Synputer must meet hardware specifications to ensure portability, performance, and compatibility for business and developer use.</w:t>
            </w:r>
          </w:p>
        </w:tc>
      </w:tr>
      <w:tr>
        <w:trPr>
          <w:cantSplit w:val="0"/>
          <w:trHeight w:val="13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Compatibility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want the system to run applications on the Motorola 68k CPU so software executes reliably.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Verify CPU compatibility</w:t>
            </w:r>
          </w:p>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system uses a Motorola 68k CPU</w:t>
            </w:r>
          </w:p>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application is executed</w:t>
            </w:r>
          </w:p>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should run correctly on the hardware</w:t>
            </w:r>
          </w:p>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 forward-compatible with later 68k series chips</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 Performance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512KB of RAM so I can run multiple applications without slowdowns.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Validate minimum RAM</w:t>
            </w:r>
          </w:p>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system has 512KB of RAM</w:t>
            </w:r>
          </w:p>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running multiple applications</w:t>
            </w:r>
          </w:p>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system should not crash or slow below acceptable limits</w:t>
            </w:r>
          </w:p>
        </w:tc>
      </w:tr>
      <w:tr>
        <w:trPr>
          <w:cantSplit w:val="0"/>
          <w:trHeight w:val="16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fast and expandable storage so I can store and retrieve files efficiently.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Check storage medium</w:t>
            </w:r>
          </w:p>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solid-state storage is installed</w:t>
            </w:r>
          </w:p>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saving or retrieving files</w:t>
            </w:r>
          </w:p>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system must complete the operation within acceptable time limits</w:t>
            </w:r>
          </w:p>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allow expansion with standard drives if required</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 Display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a clear 4” display so I can read text and view graphics easily.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 Test screen and display</w:t>
            </w:r>
          </w:p>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4-inch low-power monochrome screen</w:t>
            </w:r>
          </w:p>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displaying text or graphics</w:t>
            </w:r>
          </w:p>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content must be readable and refresh correctly</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mobile user, I want the system to last at least 2 hours so I can work without frequent charging.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5: Validate battery life</w:t>
            </w:r>
          </w:p>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system is fully charged</w:t>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operating under normal load</w:t>
            </w:r>
          </w:p>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should run for a minimum of 2 hours</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office manager, I want multiple ports so all peripherals work seamlessly.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6: Test connectivity ports</w:t>
            </w:r>
          </w:p>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serial, keyboard, external display, and joystick ports</w:t>
            </w:r>
          </w:p>
          <w:p w:rsidR="00000000" w:rsidDel="00000000" w:rsidP="00000000" w:rsidRDefault="00000000" w:rsidRPr="00000000" w14:paraId="000000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peripherals are connected</w:t>
            </w:r>
          </w:p>
          <w:p w:rsidR="00000000" w:rsidDel="00000000" w:rsidP="00000000" w:rsidRDefault="00000000" w:rsidRPr="00000000" w14:paraId="000000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all ports should function as expected</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Synputer Software Requirements and UAT</w:t>
            </w:r>
          </w:p>
          <w:p w:rsidR="00000000" w:rsidDel="00000000" w:rsidP="00000000" w:rsidRDefault="00000000" w:rsidRPr="00000000" w14:paraId="000000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system must meet software specifications, backward compatibility, and pass end-to-end testing to ensure usability and business functionality.</w:t>
            </w:r>
            <w:r w:rsidDel="00000000" w:rsidR="00000000" w:rsidRPr="00000000">
              <w:rPr>
                <w:rtl w:val="0"/>
              </w:rPr>
            </w:r>
          </w:p>
        </w:tc>
      </w:tr>
      <w:tr>
        <w:trPr>
          <w:cantSplit w:val="0"/>
          <w:trHeight w:val="16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Bundled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a complete business suite so I can perform all office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7: Verify bundled business suite</w:t>
            </w:r>
          </w:p>
          <w:p w:rsidR="00000000" w:rsidDel="00000000" w:rsidP="00000000" w:rsidRDefault="00000000" w:rsidRPr="00000000" w14:paraId="000000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system includes a word processor, spreadsheet, database, and graphics software</w:t>
            </w:r>
          </w:p>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opens the suite</w:t>
            </w:r>
          </w:p>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all applications should launch successfully and allow standard operations</w:t>
            </w:r>
          </w:p>
        </w:tc>
      </w:tr>
      <w:tr>
        <w:trPr>
          <w:cantSplit w:val="0"/>
          <w:trHeight w:val="13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HyperBasic Compatibility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want legacy TeleBasic programs to run on HB so migration is smooth.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8: Test HyperBasic (HB) backward compatibility</w:t>
            </w:r>
          </w:p>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TeleBasic program</w:t>
            </w:r>
          </w:p>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program is converted using HB converter</w:t>
            </w:r>
          </w:p>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should execute correctly on the Synputer without manual intervention</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Game Emulation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old games to run so I can use the system for both work and leisure.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9: Validate emulation of legacy games</w:t>
            </w:r>
          </w:p>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game designed for older Syn machines</w:t>
            </w:r>
          </w:p>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run on the Synputer</w:t>
            </w:r>
          </w:p>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should operate at full speed alongside a business application</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a lightweight device so I can carry it easily.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10: Ensure device portability</w:t>
            </w:r>
          </w:p>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system includes all components (CPU, battery, screen, drives)</w:t>
            </w:r>
          </w:p>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lifted or transported</w:t>
            </w:r>
          </w:p>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total weight should not exceed 2kg</w:t>
            </w:r>
          </w:p>
        </w:tc>
      </w:tr>
      <w:tr>
        <w:trPr>
          <w:cantSplit w:val="0"/>
          <w:trHeight w:val="13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Unix 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engineer, I want integration with Unix OS so the system supports multiple software environments.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11: Integration of third-party Unix OS</w:t>
            </w:r>
          </w:p>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in-house system interfaces with a third-party Unix OS</w:t>
            </w:r>
          </w:p>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OS is installed</w:t>
            </w:r>
          </w:p>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system should boot and run both OS and bundled applications correctly</w:t>
            </w:r>
          </w:p>
        </w:tc>
      </w:tr>
      <w:tr>
        <w:trPr>
          <w:cantSplit w:val="0"/>
          <w:trHeight w:val="13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Readiness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QA tester, I want all features validated so the system is ready for end-users.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12: Validate system UAT readiness</w:t>
            </w:r>
          </w:p>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completed hardware and software</w:t>
            </w:r>
          </w:p>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performing end-to-end testing</w:t>
            </w:r>
          </w:p>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all acceptance criteria for performance, compatibility, and usability are met</w:t>
            </w:r>
          </w:p>
        </w:tc>
      </w:tr>
    </w:tbl>
    <w:p w:rsidR="00000000" w:rsidDel="00000000" w:rsidP="00000000" w:rsidRDefault="00000000" w:rsidRPr="00000000" w14:paraId="000000F9">
      <w:pPr>
        <w:keepNext w:val="0"/>
        <w:keepLines w:val="0"/>
        <w:spacing w:after="80" w:line="4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4: Gherkin’s Statements</w:t>
      </w:r>
    </w:p>
    <w:p w:rsidR="00000000" w:rsidDel="00000000" w:rsidP="00000000" w:rsidRDefault="00000000" w:rsidRPr="00000000" w14:paraId="000000FA">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mtqoqkhao9mm" w:id="6"/>
      <w:bookmarkEnd w:id="6"/>
      <w:r w:rsidDel="00000000" w:rsidR="00000000" w:rsidRPr="00000000">
        <w:rPr>
          <w:rFonts w:ascii="Times New Roman" w:cs="Times New Roman" w:eastAsia="Times New Roman" w:hAnsi="Times New Roman"/>
          <w:b w:val="1"/>
          <w:bCs w:val="1"/>
          <w:sz w:val="24"/>
          <w:szCs w:val="24"/>
          <w:rtl w:val="0"/>
        </w:rPr>
        <w:t xml:space="preserve">Project Plan and Budget</w:t>
      </w:r>
      <w:r w:rsidDel="00000000" w:rsidR="00000000" w:rsidRPr="00000000">
        <w:rPr>
          <w:rtl w:val="0"/>
        </w:rPr>
      </w:r>
    </w:p>
    <w:p w:rsidR="00000000" w:rsidDel="00000000" w:rsidP="00000000" w:rsidRDefault="00000000" w:rsidRPr="00000000" w14:paraId="000000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2257" cy="2357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2257"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timeline above details milestones and their budgeted timeframes. The design includes hardware architecture, as well as the licensing of software such as the Office Suite. Hardware assembly and software development/integration are budgeted to take less time, with a larger focus on testing and refactoring (Koelsch, 2023). </w:t>
        <w:br w:type="textWrapping"/>
        <w:br w:type="textWrapping"/>
        <w:t xml:space="preserve">The format of the timeline is a Sprint Lifecycle chart, expecting that some iteration after testing may be necessary. The total time spent per milestone is budgeted for the 13 month total deadline, and includes leeway time in case it is needed. Testing and refactoring time take around 20% of the time budget each in order to ensure proper integration. Testing is also performed in parallel to the first 7 months of the plan as detailed </w:t>
      </w:r>
      <w:r w:rsidDel="00000000" w:rsidR="00000000" w:rsidRPr="00000000">
        <w:rPr>
          <w:rFonts w:ascii="Times New Roman" w:cs="Times New Roman" w:eastAsia="Times New Roman" w:hAnsi="Times New Roman"/>
          <w:sz w:val="24"/>
          <w:szCs w:val="24"/>
          <w:rtl w:val="0"/>
        </w:rPr>
        <w:t xml:space="preserve">below</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00"/>
        <w:gridCol w:w="2490"/>
        <w:gridCol w:w="1200"/>
        <w:gridCol w:w="1440"/>
        <w:tblGridChange w:id="0">
          <w:tblGrid>
            <w:gridCol w:w="1830"/>
            <w:gridCol w:w="2400"/>
            <w:gridCol w:w="2490"/>
            <w:gridCol w:w="120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the performance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w:t>
              <w:br w:type="textWrapping"/>
              <w:t xml:space="preserve">Scenario 3</w:t>
              <w:br w:type="textWrapping"/>
              <w:t xml:space="preserve">Scenario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 (OS, Office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bugs in early 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Performance, UX, End2End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w:t>
              <w:br w:type="textWrapping"/>
              <w:t xml:space="preserve">Scenario 6</w:t>
              <w:br w:type="textWrapping"/>
              <w:t xml:space="preserve">Scenario 7</w:t>
              <w:br w:type="textWrapping"/>
              <w:t xml:space="preserve">Scenario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blocking issues are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UX issues if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5</w:t>
              <w:br w:type="textWrapping"/>
              <w:t xml:space="preserve">Scenario 9</w:t>
              <w:br w:type="textWrapping"/>
              <w:t xml:space="preserve">Scenario 10</w:t>
              <w:br w:type="textWrapping"/>
              <w:t xml:space="preserve">Scenario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testing (</w:t>
            </w: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TDD/BDD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 requirements are met before integrating into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 Unit testing + Profiling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w:t>
              <w:br w:type="textWrapping"/>
              <w:t xml:space="preserve">Scenario 4</w:t>
              <w:br w:type="textWrapping"/>
              <w:t xml:space="preserve">Scenario 8</w:t>
              <w:br w:type="textWrapping"/>
              <w:t xml:space="preserve">Scenario 11</w:t>
            </w:r>
          </w:p>
        </w:tc>
      </w:tr>
    </w:tbl>
    <w:p w:rsidR="00000000" w:rsidDel="00000000" w:rsidP="00000000" w:rsidRDefault="00000000" w:rsidRPr="00000000" w14:paraId="00000116">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w:t>
      </w:r>
      <w:r w:rsidDel="00000000" w:rsidR="00000000" w:rsidRPr="00000000">
        <w:rPr>
          <w:rFonts w:ascii="Times New Roman" w:cs="Times New Roman" w:eastAsia="Times New Roman" w:hAnsi="Times New Roman"/>
          <w:b w:val="1"/>
          <w:bCs w:val="1"/>
          <w:i w:val="1"/>
          <w:iCs w:val="1"/>
          <w:color w:val="434343"/>
          <w:sz w:val="24"/>
          <w:szCs w:val="24"/>
          <w:rtl w:val="0"/>
        </w:rPr>
        <w:t xml:space="preserve">Parallel testing methods (during design, assembly and software integration)</w:t>
      </w:r>
      <w:r w:rsidDel="00000000" w:rsidR="00000000" w:rsidRPr="00000000">
        <w:rPr>
          <w:rtl w:val="0"/>
        </w:rPr>
      </w:r>
    </w:p>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125038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00463" cy="125038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w:t>
      </w:r>
      <w:r w:rsidDel="00000000" w:rsidR="00000000" w:rsidRPr="00000000">
        <w:rPr>
          <w:rFonts w:ascii="Times New Roman" w:cs="Times New Roman" w:eastAsia="Times New Roman" w:hAnsi="Times New Roman"/>
          <w:b w:val="1"/>
          <w:bCs w:val="1"/>
          <w:i w:val="1"/>
          <w:iCs w:val="1"/>
          <w:color w:val="434343"/>
          <w:sz w:val="24"/>
          <w:szCs w:val="24"/>
          <w:rtl w:val="0"/>
        </w:rPr>
        <w:t xml:space="preserve">Budget and Price Allocation</w:t>
      </w:r>
      <w:r w:rsidDel="00000000" w:rsidR="00000000" w:rsidRPr="00000000">
        <w:rPr>
          <w:rtl w:val="0"/>
        </w:rPr>
      </w:r>
    </w:p>
    <w:p w:rsidR="00000000" w:rsidDel="00000000" w:rsidP="00000000" w:rsidRDefault="00000000" w:rsidRPr="00000000" w14:paraId="000001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commissioned unit cost of £250 and an advertised price of £399.99, the plan ensures positive revenue of £299,980 and a clear path toward a break-even point (Sintha, 2020).</w:t>
      </w:r>
      <w:r w:rsidDel="00000000" w:rsidR="00000000" w:rsidRPr="00000000">
        <w:rPr>
          <w:rtl w:val="0"/>
        </w:rPr>
      </w:r>
    </w:p>
    <w:p w:rsidR="00000000" w:rsidDel="00000000" w:rsidP="00000000" w:rsidRDefault="00000000" w:rsidRPr="00000000" w14:paraId="0000011A">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sbdgawi91on1" w:id="7"/>
      <w:bookmarkEnd w:id="7"/>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1B">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Synputer vision required significant refinement to meet budget, schedule, and technical constraints. By reassessing the requirements, resolving conflicts, and adopting a Hybrid Agile SDLC, the project team established a realistic, testable, and stakeholder-aligned plan. The revised requirements ensure feasibility, while Gherkin specifications provide clear validation criteria. Together, the clarified scope, structured methodology, and controlled risk management create a viable path toward delivering a competitive, industry-standard microcomputer within the £500,000 budget and 13-month timeframe.</w:t>
        <w:br w:type="textWrapping"/>
      </w:r>
    </w:p>
    <w:p w:rsidR="00000000" w:rsidDel="00000000" w:rsidP="00000000" w:rsidRDefault="00000000" w:rsidRPr="00000000" w14:paraId="0000011C">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q2p1xu567eko" w:id="8"/>
      <w:bookmarkEnd w:id="8"/>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Agrawal, T., Walia, G.S. and Anu, V.K. (2024) Development of a software design error taxonomy: a systematic literature review. </w:t>
      </w:r>
      <w:r w:rsidDel="00000000" w:rsidR="00000000" w:rsidRPr="00000000">
        <w:rPr>
          <w:rFonts w:ascii="Times New Roman" w:cs="Times New Roman" w:eastAsia="Times New Roman" w:hAnsi="Times New Roman"/>
          <w:i w:val="1"/>
          <w:iCs w:val="1"/>
          <w:sz w:val="24"/>
          <w:szCs w:val="24"/>
          <w:rtl w:val="0"/>
        </w:rPr>
        <w:t xml:space="preserve">SN Computer Science</w:t>
      </w:r>
      <w:r w:rsidDel="00000000" w:rsidR="00000000" w:rsidRPr="00000000">
        <w:rPr>
          <w:rFonts w:ascii="Times New Roman" w:cs="Times New Roman" w:eastAsia="Times New Roman" w:hAnsi="Times New Roman"/>
          <w:sz w:val="24"/>
          <w:szCs w:val="24"/>
          <w:rtl w:val="0"/>
        </w:rPr>
        <w:t xml:space="preserve">, 5(467). doi:</w:t>
      </w:r>
      <w:hyperlink r:id="rId8">
        <w:r w:rsidDel="00000000" w:rsidR="00000000" w:rsidRPr="00000000">
          <w:rPr>
            <w:rFonts w:ascii="Times New Roman" w:cs="Times New Roman" w:eastAsia="Times New Roman" w:hAnsi="Times New Roman"/>
            <w:color w:val="467886"/>
            <w:sz w:val="24"/>
            <w:szCs w:val="24"/>
            <w:u w:val="single"/>
            <w:rtl w:val="0"/>
          </w:rPr>
          <w:t xml:space="preserve"> 10.1007/s42979-024-02797-2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A., Hafeez, Y., Hussain, S., &amp; Yang, S. (2020) Role of requirement prioritization technique to improve the quality of highly-configurable systems.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8, 27549-27573. doi:</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https://doi.org/10.1109/ACCESS.2020.2971382</w:t>
        </w:r>
      </w:hyperlink>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J. (2025) 'Agile Approach Applied to Hardware Development', LinkedIn Pulse, 22 March.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https://www.linkedin.com/pulse/agile-approach-applied-hardware-development-jerome-andres-gy2de</w:t>
        </w:r>
      </w:hyperlink>
      <w:r w:rsidDel="00000000" w:rsidR="00000000" w:rsidRPr="00000000">
        <w:rPr>
          <w:rFonts w:ascii="Times New Roman" w:cs="Times New Roman" w:eastAsia="Times New Roman" w:hAnsi="Times New Roman"/>
          <w:sz w:val="24"/>
          <w:szCs w:val="24"/>
          <w:rtl w:val="0"/>
        </w:rPr>
        <w:t xml:space="preserve"> (Accessed: 25 November 2025).</w:t>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F.P. (1975) </w:t>
      </w:r>
      <w:r w:rsidDel="00000000" w:rsidR="00000000" w:rsidRPr="00000000">
        <w:rPr>
          <w:rFonts w:ascii="Times New Roman" w:cs="Times New Roman" w:eastAsia="Times New Roman" w:hAnsi="Times New Roman"/>
          <w:i w:val="1"/>
          <w:iCs w:val="1"/>
          <w:sz w:val="24"/>
          <w:szCs w:val="24"/>
          <w:rtl w:val="0"/>
        </w:rPr>
        <w:t xml:space="preserve">The Mythical Man-Month: Essays on Software Engineering.</w:t>
      </w:r>
      <w:r w:rsidDel="00000000" w:rsidR="00000000" w:rsidRPr="00000000">
        <w:rPr>
          <w:rFonts w:ascii="Times New Roman" w:cs="Times New Roman" w:eastAsia="Times New Roman" w:hAnsi="Times New Roman"/>
          <w:sz w:val="24"/>
          <w:szCs w:val="24"/>
          <w:rtl w:val="0"/>
        </w:rPr>
        <w:t xml:space="preserve"> Reading, MA: Addison-Wesley. Available via</w:t>
      </w:r>
      <w:hyperlink r:id="rId12">
        <w:r w:rsidDel="00000000" w:rsidR="00000000" w:rsidRPr="00000000">
          <w:rPr>
            <w:rFonts w:ascii="Times New Roman" w:cs="Times New Roman" w:eastAsia="Times New Roman" w:hAnsi="Times New Roman"/>
            <w:color w:val="467886"/>
            <w:sz w:val="24"/>
            <w:szCs w:val="24"/>
            <w:u w:val="single"/>
            <w:rtl w:val="0"/>
          </w:rPr>
          <w:t xml:space="preserve"> Open Library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Budihal, A.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Guide for Implementing the Behavior-Driven Development (BDD) Framework in IT Projects</w:t>
      </w:r>
      <w:r w:rsidDel="00000000" w:rsidR="00000000" w:rsidRPr="00000000">
        <w:rPr>
          <w:rFonts w:ascii="Times New Roman" w:cs="Times New Roman" w:eastAsia="Times New Roman" w:hAnsi="Times New Roman"/>
          <w:sz w:val="24"/>
          <w:szCs w:val="24"/>
          <w:rtl w:val="0"/>
        </w:rPr>
        <w:t xml:space="preserve">. Bachelor’s/Master’s thesis. Available at: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https://www.theseus.fi/handle/10024/890621</w:t>
        </w:r>
      </w:hyperlink>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Durham, D. and Michel, C. (2021) </w:t>
      </w:r>
      <w:r w:rsidDel="00000000" w:rsidR="00000000" w:rsidRPr="00000000">
        <w:rPr>
          <w:rFonts w:ascii="Times New Roman" w:cs="Times New Roman" w:eastAsia="Times New Roman" w:hAnsi="Times New Roman"/>
          <w:i w:val="1"/>
          <w:iCs w:val="1"/>
          <w:sz w:val="24"/>
          <w:szCs w:val="24"/>
          <w:rtl w:val="0"/>
        </w:rPr>
        <w:t xml:space="preserve">Lean Software Systems Engineering for Developers: Managing Requirements, Complexity, Teams, and Change Like a Champ.</w:t>
      </w:r>
      <w:r w:rsidDel="00000000" w:rsidR="00000000" w:rsidRPr="00000000">
        <w:rPr>
          <w:rFonts w:ascii="Times New Roman" w:cs="Times New Roman" w:eastAsia="Times New Roman" w:hAnsi="Times New Roman"/>
          <w:sz w:val="24"/>
          <w:szCs w:val="24"/>
          <w:rtl w:val="0"/>
        </w:rPr>
        <w:t xml:space="preserve"> 1st edn. Berkeley, CA: Apress. ISBN 978-1-4842-6932-9. Available at:</w:t>
      </w:r>
      <w:hyperlink r:id="rId15">
        <w:r w:rsidDel="00000000" w:rsidR="00000000" w:rsidRPr="00000000">
          <w:rPr>
            <w:rFonts w:ascii="Times New Roman" w:cs="Times New Roman" w:eastAsia="Times New Roman" w:hAnsi="Times New Roman"/>
            <w:color w:val="467886"/>
            <w:sz w:val="24"/>
            <w:szCs w:val="24"/>
            <w:u w:val="single"/>
            <w:rtl w:val="0"/>
          </w:rPr>
          <w:t xml:space="preserve"> SpringerLink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(2019) </w:t>
      </w:r>
      <w:r w:rsidDel="00000000" w:rsidR="00000000" w:rsidRPr="00000000">
        <w:rPr>
          <w:rFonts w:ascii="Times New Roman" w:cs="Times New Roman" w:eastAsia="Times New Roman" w:hAnsi="Times New Roman"/>
          <w:i w:val="1"/>
          <w:iCs w:val="1"/>
          <w:sz w:val="24"/>
          <w:szCs w:val="24"/>
          <w:rtl w:val="0"/>
        </w:rPr>
        <w:t xml:space="preserve">16326: Systems and Software Engineering — Life-Cycle Processes — Project Management.</w:t>
      </w:r>
      <w:r w:rsidDel="00000000" w:rsidR="00000000" w:rsidRPr="00000000">
        <w:rPr>
          <w:rFonts w:ascii="Times New Roman" w:cs="Times New Roman" w:eastAsia="Times New Roman" w:hAnsi="Times New Roman"/>
          <w:sz w:val="24"/>
          <w:szCs w:val="24"/>
          <w:rtl w:val="0"/>
        </w:rPr>
        <w:t xml:space="preserve"> Geneva: International Organization for Standardization. Available at:</w:t>
      </w:r>
      <w:hyperlink r:id="rId16">
        <w:r w:rsidDel="00000000" w:rsidR="00000000" w:rsidRPr="00000000">
          <w:rPr>
            <w:rFonts w:ascii="Times New Roman" w:cs="Times New Roman" w:eastAsia="Times New Roman" w:hAnsi="Times New Roman"/>
            <w:color w:val="467886"/>
            <w:sz w:val="24"/>
            <w:szCs w:val="24"/>
            <w:u w:val="single"/>
            <w:rtl w:val="0"/>
          </w:rPr>
          <w:t xml:space="preserve"> ISO Catalogue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 [Initial], [et al.] (2025) 'Bridging the Gap: Aligning Waterfall and Agile Approaches', PM World Journal, 155, August 2025. Available at: </w:t>
      </w:r>
      <w:hyperlink r:id="rId17">
        <w:r w:rsidDel="00000000" w:rsidR="00000000" w:rsidRPr="00000000">
          <w:rPr>
            <w:rFonts w:ascii="Times New Roman" w:cs="Times New Roman" w:eastAsia="Times New Roman" w:hAnsi="Times New Roman"/>
            <w:color w:val="1155cc"/>
            <w:sz w:val="24"/>
            <w:szCs w:val="24"/>
            <w:u w:val="single"/>
            <w:rtl w:val="0"/>
          </w:rPr>
          <w:t xml:space="preserve">https://pmworldlibrary.net/wp-content/uploads/2025/08/pmwj155-Aug2025-Ford-et-al-Bridging-the-Gap-Aligning-Waterfall-and-Agile-2.pdf</w:t>
        </w:r>
      </w:hyperlink>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color w:val="155f81"/>
          <w:sz w:val="24"/>
          <w:szCs w:val="24"/>
        </w:rPr>
      </w:pPr>
      <w:r w:rsidDel="00000000" w:rsidR="00000000" w:rsidRPr="00000000">
        <w:rPr>
          <w:rFonts w:ascii="Times New Roman" w:cs="Times New Roman" w:eastAsia="Times New Roman" w:hAnsi="Times New Roman"/>
          <w:sz w:val="24"/>
          <w:szCs w:val="24"/>
          <w:rtl w:val="0"/>
        </w:rPr>
        <w:t xml:space="preserve">Gemino, A., Horner Reich, B., &amp; Serrador, P. M. (2020) Agile, Traditional, and Hybrid Approaches to Project Success: Is Hybrid a Poor Second Choice? </w:t>
      </w:r>
      <w:r w:rsidDel="00000000" w:rsidR="00000000" w:rsidRPr="00000000">
        <w:rPr>
          <w:rFonts w:ascii="Times New Roman" w:cs="Times New Roman" w:eastAsia="Times New Roman" w:hAnsi="Times New Roman"/>
          <w:i w:val="1"/>
          <w:iCs w:val="1"/>
          <w:sz w:val="24"/>
          <w:szCs w:val="24"/>
          <w:rtl w:val="0"/>
        </w:rPr>
        <w:t xml:space="preserve">Project Management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(2), 161-175.</w:t>
      </w:r>
      <w:hyperlink r:id="rId18">
        <w:r w:rsidDel="00000000" w:rsidR="00000000" w:rsidRPr="00000000">
          <w:rPr>
            <w:rFonts w:ascii="Times New Roman" w:cs="Times New Roman" w:eastAsia="Times New Roman" w:hAnsi="Times New Roman"/>
            <w:sz w:val="24"/>
            <w:szCs w:val="24"/>
            <w:rtl w:val="0"/>
          </w:rPr>
          <w:t xml:space="preserve"> doi: </w:t>
        </w:r>
      </w:hyperlink>
      <w:hyperlink r:id="rId19">
        <w:r w:rsidDel="00000000" w:rsidR="00000000" w:rsidRPr="00000000">
          <w:rPr>
            <w:rFonts w:ascii="Times New Roman" w:cs="Times New Roman" w:eastAsia="Times New Roman" w:hAnsi="Times New Roman"/>
            <w:color w:val="155f81"/>
            <w:sz w:val="24"/>
            <w:szCs w:val="24"/>
            <w:u w:val="single"/>
            <w:rtl w:val="0"/>
          </w:rPr>
          <w:t xml:space="preserve">https://doi.org/10.1177/8756972820973082</w:t>
        </w:r>
      </w:hyperlink>
      <w:r w:rsidDel="00000000" w:rsidR="00000000" w:rsidRPr="00000000">
        <w:rPr>
          <w:rFonts w:ascii="Times New Roman" w:cs="Times New Roman" w:eastAsia="Times New Roman" w:hAnsi="Times New Roman"/>
          <w:color w:val="155f81"/>
          <w:sz w:val="24"/>
          <w:szCs w:val="24"/>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Kancharla, V. (2025) Enhancing Software Development: Strategies For Achieving Code Portability Across Technology Platforms. </w:t>
      </w:r>
      <w:r w:rsidDel="00000000" w:rsidR="00000000" w:rsidRPr="00000000">
        <w:rPr>
          <w:rFonts w:ascii="Times New Roman" w:cs="Times New Roman" w:eastAsia="Times New Roman" w:hAnsi="Times New Roman"/>
          <w:i w:val="1"/>
          <w:iCs w:val="1"/>
          <w:sz w:val="24"/>
          <w:szCs w:val="24"/>
          <w:rtl w:val="0"/>
        </w:rPr>
        <w:t xml:space="preserve">International Journal of Information Technology &amp; Management Information System </w:t>
      </w:r>
      <w:r w:rsidDel="00000000" w:rsidR="00000000" w:rsidRPr="00000000">
        <w:rPr>
          <w:rFonts w:ascii="Times New Roman" w:cs="Times New Roman" w:eastAsia="Times New Roman" w:hAnsi="Times New Roman"/>
          <w:sz w:val="24"/>
          <w:szCs w:val="24"/>
          <w:rtl w:val="0"/>
        </w:rPr>
        <w:t xml:space="preserve">16(1): 6-21. DOI: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https://doi.org/10.34218/IJITMIS_16_01_002</w:t>
        </w:r>
      </w:hyperlink>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Koelsch, G. (2023) </w:t>
      </w:r>
      <w:r w:rsidDel="00000000" w:rsidR="00000000" w:rsidRPr="00000000">
        <w:rPr>
          <w:rFonts w:ascii="Times New Roman" w:cs="Times New Roman" w:eastAsia="Times New Roman" w:hAnsi="Times New Roman"/>
          <w:i w:val="1"/>
          <w:iCs w:val="1"/>
          <w:sz w:val="24"/>
          <w:szCs w:val="24"/>
          <w:rtl w:val="0"/>
        </w:rPr>
        <w:t xml:space="preserve">Hardware and Software Projects Troubleshooting: How Effective Requirements Can Save the Day. </w:t>
      </w:r>
      <w:r w:rsidDel="00000000" w:rsidR="00000000" w:rsidRPr="00000000">
        <w:rPr>
          <w:rFonts w:ascii="Times New Roman" w:cs="Times New Roman" w:eastAsia="Times New Roman" w:hAnsi="Times New Roman"/>
          <w:sz w:val="24"/>
          <w:szCs w:val="24"/>
          <w:rtl w:val="0"/>
        </w:rPr>
        <w:t xml:space="preserve">2nd ed. Berkeley, CA: Apress. DOI: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https://doi.org/10.1007/978-1-4842-9830-5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Marnada, T., Raharjo, T., Hardian, B., &amp; Prasetyo, A. (2022) Agile Project Management Challenge in Handling Scope and Change: A Systematic Literature Review. </w:t>
      </w:r>
      <w:r w:rsidDel="00000000" w:rsidR="00000000" w:rsidRPr="00000000">
        <w:rPr>
          <w:rFonts w:ascii="Times New Roman" w:cs="Times New Roman" w:eastAsia="Times New Roman" w:hAnsi="Times New Roman"/>
          <w:i w:val="1"/>
          <w:iCs w:val="1"/>
          <w:sz w:val="24"/>
          <w:szCs w:val="24"/>
          <w:rtl w:val="0"/>
        </w:rPr>
        <w:t xml:space="preserve">Procedia Computer Science</w:t>
      </w:r>
      <w:r w:rsidDel="00000000" w:rsidR="00000000" w:rsidRPr="00000000">
        <w:rPr>
          <w:rFonts w:ascii="Times New Roman" w:cs="Times New Roman" w:eastAsia="Times New Roman" w:hAnsi="Times New Roman"/>
          <w:sz w:val="24"/>
          <w:szCs w:val="24"/>
          <w:rtl w:val="0"/>
        </w:rPr>
        <w:t xml:space="preserve">, 197(1), pp. 290–300. DOI: </w:t>
      </w:r>
      <w:hyperlink r:id="rId22">
        <w:r w:rsidDel="00000000" w:rsidR="00000000" w:rsidRPr="00000000">
          <w:rPr>
            <w:rFonts w:ascii="Times New Roman" w:cs="Times New Roman" w:eastAsia="Times New Roman" w:hAnsi="Times New Roman"/>
            <w:sz w:val="24"/>
            <w:szCs w:val="24"/>
            <w:rtl w:val="0"/>
          </w:rPr>
          <w:t xml:space="preserve">https://doi.org/10.1016/j.procs.2021.12.143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Papadakis E., Tsironis L.K.  (2020) ‘Towards a Hybrid Project Management Framework: A Systematic Literature Review on Traditional, Agile and Hybrid Techniques’. Available at</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55f81"/>
            <w:sz w:val="24"/>
            <w:szCs w:val="24"/>
            <w:u w:val="single"/>
            <w:rtl w:val="0"/>
          </w:rPr>
          <w:t xml:space="preserve">https://journalmodernpm.com/manuscript/index.php/jmpm/article/download/JMPM02410/394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RayMing PCB (2024) 'Agile for Hardware: Sprints and Working Prototypes', Printed Circuit Board, 15 April. Available at: </w:t>
      </w:r>
      <w:hyperlink r:id="rId25">
        <w:r w:rsidDel="00000000" w:rsidR="00000000" w:rsidRPr="00000000">
          <w:rPr>
            <w:rFonts w:ascii="Times New Roman" w:cs="Times New Roman" w:eastAsia="Times New Roman" w:hAnsi="Times New Roman"/>
            <w:color w:val="1155cc"/>
            <w:sz w:val="24"/>
            <w:szCs w:val="24"/>
            <w:u w:val="single"/>
            <w:rtl w:val="0"/>
          </w:rPr>
          <w:t xml:space="preserve">https://www.printedcircuitboard.org/2024/04/agile-for-hardware-sprints-and-working.html</w:t>
        </w:r>
      </w:hyperlink>
      <w:r w:rsidDel="00000000" w:rsidR="00000000" w:rsidRPr="00000000">
        <w:rPr>
          <w:rFonts w:ascii="Times New Roman" w:cs="Times New Roman" w:eastAsia="Times New Roman" w:hAnsi="Times New Roman"/>
          <w:sz w:val="24"/>
          <w:szCs w:val="24"/>
          <w:rtl w:val="0"/>
        </w:rPr>
        <w:t xml:space="preserve"> (Accessed: 25 November 2025).</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Sintha, L. (2020) ‘Importance of Break-Even Analysis for the Micro, Small and Medium Enterprises‘, </w:t>
      </w:r>
      <w:r w:rsidDel="00000000" w:rsidR="00000000" w:rsidRPr="00000000">
        <w:rPr>
          <w:rFonts w:ascii="Times New Roman" w:cs="Times New Roman" w:eastAsia="Times New Roman" w:hAnsi="Times New Roman"/>
          <w:i w:val="1"/>
          <w:iCs w:val="1"/>
          <w:sz w:val="24"/>
          <w:szCs w:val="24"/>
          <w:rtl w:val="0"/>
        </w:rPr>
        <w:t xml:space="preserve">International Journal of Research - Granthaalayah</w:t>
      </w:r>
      <w:r w:rsidDel="00000000" w:rsidR="00000000" w:rsidRPr="00000000">
        <w:rPr>
          <w:rFonts w:ascii="Times New Roman" w:cs="Times New Roman" w:eastAsia="Times New Roman" w:hAnsi="Times New Roman"/>
          <w:sz w:val="24"/>
          <w:szCs w:val="24"/>
          <w:rtl w:val="0"/>
        </w:rPr>
        <w:t xml:space="preserve">, 8(6). Available at: </w:t>
      </w:r>
      <w:hyperlink r:id="rId26">
        <w:r w:rsidDel="00000000" w:rsidR="00000000" w:rsidRPr="00000000">
          <w:rPr>
            <w:rFonts w:ascii="Times New Roman" w:cs="Times New Roman" w:eastAsia="Times New Roman" w:hAnsi="Times New Roman"/>
            <w:color w:val="1155cc"/>
            <w:sz w:val="24"/>
            <w:szCs w:val="24"/>
            <w:u w:val="single"/>
            <w:rtl w:val="0"/>
          </w:rPr>
          <w:t xml:space="preserve">http://repository.uki.ac.id/2044/14/ImportanceofBreakEven.pdf</w:t>
        </w:r>
      </w:hyperlink>
      <w:r w:rsidDel="00000000" w:rsidR="00000000" w:rsidRPr="00000000">
        <w:rPr>
          <w:rFonts w:ascii="Times New Roman" w:cs="Times New Roman" w:eastAsia="Times New Roman" w:hAnsi="Times New Roman"/>
          <w:sz w:val="24"/>
          <w:szCs w:val="24"/>
          <w:rtl w:val="0"/>
        </w:rPr>
        <w:t xml:space="preserve"> (Accessed 27 November 2025).</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Vijayakumar, S., Prasad, K.K. and Holla, R.M. (2024) 'Assessing the effectiveness of MoSCoW prioritization in software development: a holistic analysis across methodologies', </w:t>
      </w:r>
      <w:r w:rsidDel="00000000" w:rsidR="00000000" w:rsidRPr="00000000">
        <w:rPr>
          <w:rFonts w:ascii="Times New Roman" w:cs="Times New Roman" w:eastAsia="Times New Roman" w:hAnsi="Times New Roman"/>
          <w:i w:val="1"/>
          <w:iCs w:val="1"/>
          <w:sz w:val="24"/>
          <w:szCs w:val="24"/>
          <w:rtl w:val="0"/>
        </w:rPr>
        <w:t xml:space="preserve">EAI Endorsed Transactions on Internet of Things</w:t>
      </w:r>
      <w:r w:rsidDel="00000000" w:rsidR="00000000" w:rsidRPr="00000000">
        <w:rPr>
          <w:rFonts w:ascii="Times New Roman" w:cs="Times New Roman" w:eastAsia="Times New Roman" w:hAnsi="Times New Roman"/>
          <w:sz w:val="24"/>
          <w:szCs w:val="24"/>
          <w:rtl w:val="0"/>
        </w:rPr>
        <w:t xml:space="preserve">, 10(1). doi: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https:doi.org/10.4108/eetiot.6515</w:t>
        </w:r>
      </w:hyperlink>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Zasa, F. P., Patrucco, A., &amp; Pellizzoni, E. (2020). Managing the Hybrid Organization: How Can Agile and Traditional Project Management Coexist? </w:t>
      </w:r>
      <w:r w:rsidDel="00000000" w:rsidR="00000000" w:rsidRPr="00000000">
        <w:rPr>
          <w:rFonts w:ascii="Times New Roman" w:cs="Times New Roman" w:eastAsia="Times New Roman" w:hAnsi="Times New Roman"/>
          <w:i w:val="1"/>
          <w:iCs w:val="1"/>
          <w:sz w:val="24"/>
          <w:szCs w:val="24"/>
          <w:rtl w:val="0"/>
        </w:rPr>
        <w:t xml:space="preserve">Research-Technology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(1), 54–63. Available at </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55f81"/>
            <w:sz w:val="24"/>
            <w:szCs w:val="24"/>
            <w:u w:val="single"/>
            <w:rtl w:val="0"/>
          </w:rPr>
          <w:t xml:space="preserve">https://doi.org/10.1080/08956308.2021.1843331</w:t>
        </w:r>
      </w:hyperlink>
      <w:r w:rsidDel="00000000" w:rsidR="00000000" w:rsidRPr="00000000">
        <w:rPr>
          <w:rFonts w:ascii="Times New Roman" w:cs="Times New Roman" w:eastAsia="Times New Roman" w:hAnsi="Times New Roman"/>
          <w:color w:val="155f81"/>
          <w:sz w:val="24"/>
          <w:szCs w:val="24"/>
          <w:rtl w:val="0"/>
        </w:rPr>
        <w:t xml:space="preserve"> </w:t>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4218/IJITMIS_16_01_002" TargetMode="External"/><Relationship Id="rId22" Type="http://schemas.openxmlformats.org/officeDocument/2006/relationships/hyperlink" Target="https://doi.org/10.1016/j.procs.2021.12.143" TargetMode="External"/><Relationship Id="rId21" Type="http://schemas.openxmlformats.org/officeDocument/2006/relationships/hyperlink" Target="https://doi.org/10.1007/978-1-4842-9830-5" TargetMode="External"/><Relationship Id="rId24" Type="http://schemas.openxmlformats.org/officeDocument/2006/relationships/hyperlink" Target="https://journalmodernpm.com/manuscript/index.php/jmpm/article/download/JMPM02410/394" TargetMode="External"/><Relationship Id="rId23" Type="http://schemas.openxmlformats.org/officeDocument/2006/relationships/hyperlink" Target="https://journalmodernpm.com/manuscript/index.php/jmpm/article/download/JMPM02410/3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ACCESS.2020.2971382" TargetMode="External"/><Relationship Id="rId26" Type="http://schemas.openxmlformats.org/officeDocument/2006/relationships/hyperlink" Target="http://repository.uki.ac.id/2044/14/ImportanceofBreakEven.pdf" TargetMode="External"/><Relationship Id="rId25" Type="http://schemas.openxmlformats.org/officeDocument/2006/relationships/hyperlink" Target="https://www.printedcircuitboard.org/2024/04/agile-for-hardware-sprints-and-working.html" TargetMode="External"/><Relationship Id="rId28" Type="http://schemas.openxmlformats.org/officeDocument/2006/relationships/hyperlink" Target="https://doi.org/10.1080/08956308.2021.1843331" TargetMode="External"/><Relationship Id="rId27" Type="http://schemas.openxmlformats.org/officeDocument/2006/relationships/hyperlink" Target="http://doi.org/10.4108/eetiot.6515"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080/08956308.2021.1843331" TargetMode="External"/><Relationship Id="rId7" Type="http://schemas.openxmlformats.org/officeDocument/2006/relationships/image" Target="media/image2.png"/><Relationship Id="rId8" Type="http://schemas.openxmlformats.org/officeDocument/2006/relationships/hyperlink" Target="https://doi.org/10.1007/s42979-024-02797-2" TargetMode="External"/><Relationship Id="rId30" Type="http://schemas.openxmlformats.org/officeDocument/2006/relationships/header" Target="header1.xml"/><Relationship Id="rId11" Type="http://schemas.openxmlformats.org/officeDocument/2006/relationships/hyperlink" Target="https://www.linkedin.com/pulse/agile-approach-applied-hardware-development-jerome-andres-gy2de" TargetMode="External"/><Relationship Id="rId10" Type="http://schemas.openxmlformats.org/officeDocument/2006/relationships/hyperlink" Target="https://doi.org/10.1109/ACCESS.2020.2971382" TargetMode="External"/><Relationship Id="rId13" Type="http://schemas.openxmlformats.org/officeDocument/2006/relationships/hyperlink" Target="https://www.theseus.fi/handle/10024/890621?utm_source=chatgpt.com" TargetMode="External"/><Relationship Id="rId12" Type="http://schemas.openxmlformats.org/officeDocument/2006/relationships/hyperlink" Target="https://openlibrary.org/works/OL45805W/The_Mythical_Man-Month" TargetMode="External"/><Relationship Id="rId15" Type="http://schemas.openxmlformats.org/officeDocument/2006/relationships/hyperlink" Target="https://link.springer.com/book/10.1007/978-1-4842-6933-6" TargetMode="External"/><Relationship Id="rId14" Type="http://schemas.openxmlformats.org/officeDocument/2006/relationships/hyperlink" Target="https://www.theseus.fi/handle/10024/890621?utm_source=chatgpt.com" TargetMode="External"/><Relationship Id="rId17" Type="http://schemas.openxmlformats.org/officeDocument/2006/relationships/hyperlink" Target="https://pmworldlibrary.net/wp-content/uploads/2025/08/pmwj155-Aug2025-Ford-et-al-Bridging-the-Gap-Aligning-Waterfall-and-Agile-2.pdf" TargetMode="External"/><Relationship Id="rId16" Type="http://schemas.openxmlformats.org/officeDocument/2006/relationships/hyperlink" Target="https://www.iso.org/standard/74399.html" TargetMode="External"/><Relationship Id="rId19" Type="http://schemas.openxmlformats.org/officeDocument/2006/relationships/hyperlink" Target="https://doi.org/10.1177/8756972820973082" TargetMode="External"/><Relationship Id="rId18" Type="http://schemas.openxmlformats.org/officeDocument/2006/relationships/hyperlink" Target="https://doi.org/10.1177/8756972820973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