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67C9" w14:textId="77777777" w:rsidR="00C47438" w:rsidRPr="00C47438" w:rsidRDefault="00C47438" w:rsidP="00C47438">
      <w:r w:rsidRPr="00C47438">
        <w:t>1. Мнимая сделка, то есть сделка, совершенная лишь для вида, без намерения создать соответствующие ей правовые последствия, ничтожна.</w:t>
      </w:r>
    </w:p>
    <w:p w14:paraId="06E84A03" w14:textId="77777777" w:rsidR="00C47438" w:rsidRPr="00C47438" w:rsidRDefault="00C47438" w:rsidP="00C47438">
      <w:r w:rsidRPr="00C47438">
        <w:t>2. Притворная сделка, то есть сделка, которая совершена с целью прикрыть другую сделку, в том числе сделку на иных условиях, ничтожна. К сделке, которую стороны действительно имели в виду, с учетом существа и содержания сделки применяются относящиеся к ней правила.</w:t>
      </w:r>
    </w:p>
    <w:p w14:paraId="186C0D37" w14:textId="77777777" w:rsidR="00C47438" w:rsidRPr="00C47438" w:rsidRDefault="00C47438" w:rsidP="00C47438">
      <w:pPr>
        <w:numPr>
          <w:ilvl w:val="0"/>
          <w:numId w:val="1"/>
        </w:numPr>
      </w:pPr>
      <w:hyperlink r:id="rId5" w:history="1">
        <w:r w:rsidRPr="00C47438">
          <w:rPr>
            <w:rStyle w:val="ac"/>
          </w:rPr>
          <w:t>Статья 169. Недействительность сделки, совершенной с целью, противной основам правопорядка или нравственности</w:t>
        </w:r>
      </w:hyperlink>
    </w:p>
    <w:p w14:paraId="0443AC55" w14:textId="77777777" w:rsidR="00C47438" w:rsidRPr="00C47438" w:rsidRDefault="00C47438" w:rsidP="00C47438">
      <w:pPr>
        <w:numPr>
          <w:ilvl w:val="0"/>
          <w:numId w:val="1"/>
        </w:numPr>
      </w:pPr>
      <w:hyperlink r:id="rId6" w:history="1">
        <w:r w:rsidRPr="00C47438">
          <w:rPr>
            <w:rStyle w:val="ac"/>
          </w:rPr>
          <w:t>Статья 171. Недействительность сделки, совершенной гражданином, признанным недееспособным</w:t>
        </w:r>
      </w:hyperlink>
    </w:p>
    <w:p w14:paraId="3336F8F2" w14:textId="69BEE6AB" w:rsidR="00C47438" w:rsidRPr="00C47438" w:rsidRDefault="00C47438" w:rsidP="00C47438">
      <w:r w:rsidRPr="00C47438">
        <w:drawing>
          <wp:inline distT="0" distB="0" distL="0" distR="0" wp14:anchorId="3486A64B" wp14:editId="3BAFFE63">
            <wp:extent cx="5940425" cy="427990"/>
            <wp:effectExtent l="0" t="0" r="3175" b="0"/>
            <wp:docPr id="2022044513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2F07" w14:textId="77777777" w:rsidR="00C47438" w:rsidRDefault="00C47438"/>
    <w:sectPr w:rsidR="00C47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60DE1"/>
    <w:multiLevelType w:val="multilevel"/>
    <w:tmpl w:val="2AA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39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38"/>
    <w:rsid w:val="009B2095"/>
    <w:rsid w:val="00C4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767A1"/>
  <w15:chartTrackingRefBased/>
  <w15:docId w15:val="{530ABD40-4626-4550-AB4A-0833DA33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7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4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4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4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4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4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4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4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4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4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4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743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743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47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yandex.ru/adfox/692978/goLink?ad-session-id=8577541787922895574&amp;adfox-version=1&amp;duid=1787916300885466341&amp;efc=1&amp;esc=0&amp;ifd=1&amp;initial-engine-id=hab&amp;laas_region_id=pwx&amp;p1=cuoyo&amp;p2=hsgb&amp;sj=rBVubi6349aDoVvhRgKUQxUwPFOveIhTE4F2gTuZM74TMpp7Aszn_yLkL5MYCmEkEI-k6T_fa0INwU41GprVW2mF4idTVk1PvEircW40QyQkcKz8v76cc8gHbMZhEkeq6zchUCrdRR_Qphqemb-w_jeL_KUisTDgdiSb6cfggiLg8GfihMmhwhGSf8XMyCD7Uac7LT_8mMxbfkiNfcjK8Q1sXiUfcXrxzi8uFrir19HnU4IHm1Ffq6OobDpORRuSpHZ9DmtRp_5eQhWchrO2R6bVPbq6Iy1yl84Ca7mdGxMNfIJ094JEYQel038b-CyeQBLFdk5LvDb_tiMo6muF-ucyDhL3nYrV_B8Nl5PvMyLrpsL3N4YOI-W3NB9hMnVIrlTC6TB1cy_Ubpn2f_MN8kttrJ8yrfWmfgE4wbLrehFhz9q6Mo3M&amp;ybv=0.1306379&amp;ylv=0.1306379&amp;ytt=42825977901875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171_1/" TargetMode="External"/><Relationship Id="rId5" Type="http://schemas.openxmlformats.org/officeDocument/2006/relationships/hyperlink" Target="https://gkrfkod.ru/statja-169_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2026-08-28T13:15:00Z</dcterms:created>
  <dcterms:modified xsi:type="dcterms:W3CDTF">2026-08-28T13:15:00Z</dcterms:modified>
</cp:coreProperties>
</file>