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3E753" w14:textId="77777777" w:rsidR="00A529A5" w:rsidRPr="00A529A5" w:rsidRDefault="00A529A5" w:rsidP="00A529A5">
      <w:r w:rsidRPr="00A529A5">
        <w:t>С согласия наймодателя, нанимателя и граждан, постоянно с ним проживающих, в жилое помещение могут быть вселены другие граждане в качестве постоянно проживающих с нанимателем. При вселении несовершеннолетних детей такого согласия не требуется.</w:t>
      </w:r>
    </w:p>
    <w:p w14:paraId="521E6219" w14:textId="77777777" w:rsidR="00A529A5" w:rsidRPr="00A529A5" w:rsidRDefault="00A529A5" w:rsidP="00A529A5">
      <w:r w:rsidRPr="00A529A5">
        <w:t>Вселение допускается при условии соблюдения требований законодательства о норме общей площади жилого помещения на одного человека, кроме случая вселения несовершеннолетних детей.</w:t>
      </w:r>
    </w:p>
    <w:p w14:paraId="72A6382A" w14:textId="77777777" w:rsidR="00A529A5" w:rsidRPr="00A529A5" w:rsidRDefault="00A529A5" w:rsidP="00A529A5">
      <w:pPr>
        <w:numPr>
          <w:ilvl w:val="0"/>
          <w:numId w:val="1"/>
        </w:numPr>
      </w:pPr>
      <w:hyperlink r:id="rId5" w:history="1">
        <w:r w:rsidRPr="00A529A5">
          <w:rPr>
            <w:rStyle w:val="ac"/>
          </w:rPr>
          <w:t>Статья 678. Обязанности нанимателя жилого помещения</w:t>
        </w:r>
      </w:hyperlink>
    </w:p>
    <w:p w14:paraId="6DC5905A" w14:textId="77777777" w:rsidR="00A529A5" w:rsidRPr="00A529A5" w:rsidRDefault="00A529A5" w:rsidP="00A529A5">
      <w:pPr>
        <w:numPr>
          <w:ilvl w:val="0"/>
          <w:numId w:val="1"/>
        </w:numPr>
      </w:pPr>
      <w:hyperlink r:id="rId6" w:history="1">
        <w:r w:rsidRPr="00A529A5">
          <w:rPr>
            <w:rStyle w:val="ac"/>
          </w:rPr>
          <w:t>Статья 680. Временные жильцы</w:t>
        </w:r>
      </w:hyperlink>
    </w:p>
    <w:p w14:paraId="4F3FB884" w14:textId="2ADF03D8" w:rsidR="00A529A5" w:rsidRPr="00A529A5" w:rsidRDefault="00A529A5" w:rsidP="00A529A5">
      <w:r w:rsidRPr="00A529A5">
        <w:drawing>
          <wp:inline distT="0" distB="0" distL="0" distR="0" wp14:anchorId="7A322A76" wp14:editId="15103C1E">
            <wp:extent cx="5940425" cy="427990"/>
            <wp:effectExtent l="0" t="0" r="3175" b="0"/>
            <wp:docPr id="2110922831" name="Рисунок 2">
              <a:hlinkClick xmlns:a="http://schemas.openxmlformats.org/drawingml/2006/main" r:id="rId7"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7" tgtFrame="&quot;_top&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27990"/>
                    </a:xfrm>
                    <a:prstGeom prst="rect">
                      <a:avLst/>
                    </a:prstGeom>
                    <a:noFill/>
                    <a:ln>
                      <a:noFill/>
                    </a:ln>
                  </pic:spPr>
                </pic:pic>
              </a:graphicData>
            </a:graphic>
          </wp:inline>
        </w:drawing>
      </w:r>
    </w:p>
    <w:p w14:paraId="5A96887A" w14:textId="77777777" w:rsidR="00A529A5" w:rsidRPr="00A529A5" w:rsidRDefault="00A529A5" w:rsidP="00A529A5">
      <w:r w:rsidRPr="00A529A5">
        <w:t>Судебная практика по статье 679 ГК РФ</w:t>
      </w:r>
    </w:p>
    <w:p w14:paraId="5BFE9912" w14:textId="77777777" w:rsidR="00A529A5" w:rsidRPr="00A529A5" w:rsidRDefault="00A529A5" w:rsidP="00A529A5">
      <w:hyperlink r:id="rId9" w:tooltip="Определение Верховного Суда РФ от 30.03.2020 N 305-ЭС20-2112 по делу N А40-252002/2018" w:history="1">
        <w:r w:rsidRPr="00A529A5">
          <w:rPr>
            <w:rStyle w:val="ac"/>
          </w:rPr>
          <w:t>Определение Верховного Суда РФ от 30.03.2020 N 305-ЭС20-2112 по делу N А40-252002/2018</w:t>
        </w:r>
      </w:hyperlink>
    </w:p>
    <w:p w14:paraId="51431ED4" w14:textId="77777777" w:rsidR="00A529A5" w:rsidRPr="00A529A5" w:rsidRDefault="00A529A5" w:rsidP="00A529A5">
      <w:r w:rsidRPr="00A529A5">
        <w:t>Оценив представленные в материалы дела доказательства по правилам статьи 71 Арбитражного процессуального кодекса Российской Федерации, в том числе платежные поручения о выплате военнослужащим истцом понесенных ими расходов за наем (поднаем) жилых помещений, ведомостями на зачисление заработной платы и других выплат, реестрами денежных средств по результатам зачислений, договорами найма (поднайма) жилых помещений на каждого военнослужащего, установив факт несения учреждением расходов на выплату компенсации оплаты найма военнослужащими жилых помещений за период с 01.09.2017 по 30.06.2018 и непредставления институтом доказательств их возмещения, суд, руководствуясь статьями 307, 309 - 310, </w:t>
      </w:r>
      <w:hyperlink r:id="rId10" w:history="1">
        <w:r w:rsidRPr="00A529A5">
          <w:rPr>
            <w:rStyle w:val="ac"/>
          </w:rPr>
          <w:t>671</w:t>
        </w:r>
      </w:hyperlink>
      <w:r w:rsidRPr="00A529A5">
        <w:t>, </w:t>
      </w:r>
      <w:hyperlink r:id="rId11" w:history="1">
        <w:r w:rsidRPr="00A529A5">
          <w:rPr>
            <w:rStyle w:val="ac"/>
          </w:rPr>
          <w:t>674</w:t>
        </w:r>
      </w:hyperlink>
      <w:r w:rsidRPr="00A529A5">
        <w:t>, </w:t>
      </w:r>
      <w:hyperlink r:id="rId12" w:history="1">
        <w:r w:rsidRPr="00A529A5">
          <w:rPr>
            <w:rStyle w:val="ac"/>
          </w:rPr>
          <w:t>678</w:t>
        </w:r>
      </w:hyperlink>
      <w:r w:rsidRPr="00A529A5">
        <w:t>, </w:t>
      </w:r>
      <w:hyperlink r:id="rId13" w:history="1">
        <w:r w:rsidRPr="00A529A5">
          <w:rPr>
            <w:rStyle w:val="ac"/>
          </w:rPr>
          <w:t>679</w:t>
        </w:r>
      </w:hyperlink>
      <w:r w:rsidRPr="00A529A5">
        <w:t>, </w:t>
      </w:r>
      <w:hyperlink r:id="rId14" w:history="1">
        <w:r w:rsidRPr="00A529A5">
          <w:rPr>
            <w:rStyle w:val="ac"/>
          </w:rPr>
          <w:t>682</w:t>
        </w:r>
      </w:hyperlink>
      <w:r w:rsidRPr="00A529A5">
        <w:t> Гражданского кодекса Российской Федерации, статьей 27 Федерального закона от 03.07.2016 N 226-ФЗ "О войсках национальной гвардии Российской Федерации", пунктом 2 постановления Правительства РФ от 31.12.2004 N 909 "О порядке выплаты денежной компенсации за наем (поднаем) жилых помещений военнослужащим - гражданам Российской Федерации, проходящим военную службу по контракту, гражданам Российской Федерации, уволенным с военной службы, и членам их семей", приказом Министра обороны Российской Федерации от 27.05.2016 N 303, требования удовлетворил частично, исходя из того, что часть из исчисленных истцом расходов ранее была взыскана в рамках дела N А40-208274/17-76-1423, обусловлена допущенными арифметическими ошибками, а также не имеет надлежащего документального подтверждения факта их несения.</w:t>
      </w:r>
      <w:r w:rsidRPr="00A529A5">
        <w:br/>
      </w:r>
    </w:p>
    <w:p w14:paraId="17029C4F" w14:textId="77777777" w:rsidR="00A529A5" w:rsidRPr="00A529A5" w:rsidRDefault="00A529A5" w:rsidP="00A529A5">
      <w:r w:rsidRPr="00A529A5">
        <w:br/>
      </w:r>
      <w:hyperlink r:id="rId15" w:tooltip="Определение Конституционного Суда РФ от 28.01.2025 N 158-О" w:history="1">
        <w:r w:rsidRPr="00A529A5">
          <w:rPr>
            <w:rStyle w:val="ac"/>
          </w:rPr>
          <w:t>Определение Конституционного Суда РФ от 28.01.2025 N 158-О</w:t>
        </w:r>
      </w:hyperlink>
    </w:p>
    <w:p w14:paraId="5A334EC0" w14:textId="77777777" w:rsidR="00A529A5" w:rsidRPr="00A529A5" w:rsidRDefault="00A529A5" w:rsidP="00A529A5">
      <w:r w:rsidRPr="00A529A5">
        <w:lastRenderedPageBreak/>
        <w:t>Статья </w:t>
      </w:r>
      <w:hyperlink r:id="rId16" w:history="1">
        <w:r w:rsidRPr="00A529A5">
          <w:rPr>
            <w:rStyle w:val="ac"/>
          </w:rPr>
          <w:t>679</w:t>
        </w:r>
      </w:hyperlink>
      <w:r w:rsidRPr="00A529A5">
        <w:t xml:space="preserve"> ГК Российской Федерации, определяющая - с учетом необходимости обеспечить баланс интересов наймодателя, нанимателя и членов его семьи - условия вселения нанимателем в занимаемое им жилое помещение других граждан, соблюдение которых является одним из оснований для регистрационного учета последних по адресу данного жилого помещения, не может расцениваться в качестве нарушающей конституционные права И.А. Лыткина и Н.В. </w:t>
      </w:r>
      <w:proofErr w:type="spellStart"/>
      <w:r w:rsidRPr="00A529A5">
        <w:t>Пошукаевой</w:t>
      </w:r>
      <w:proofErr w:type="spellEnd"/>
      <w:r w:rsidRPr="00A529A5">
        <w:t xml:space="preserve"> в обозначенном ими в жалобе аспекте. То же касается и утратившей силу статьи 54 Жилищного кодекса РСФСР.</w:t>
      </w:r>
      <w:r w:rsidRPr="00A529A5">
        <w:br/>
      </w:r>
    </w:p>
    <w:p w14:paraId="75509B7A" w14:textId="77777777" w:rsidR="00A529A5" w:rsidRDefault="00A529A5"/>
    <w:sectPr w:rsidR="00A529A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015CC"/>
    <w:multiLevelType w:val="multilevel"/>
    <w:tmpl w:val="CAC0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793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9A5"/>
    <w:rsid w:val="009B2095"/>
    <w:rsid w:val="00A529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166D9"/>
  <w15:chartTrackingRefBased/>
  <w15:docId w15:val="{82D3D2C8-4384-441F-94A3-594B143A6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529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529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529A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529A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529A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529A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529A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529A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529A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529A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529A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529A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529A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529A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529A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529A5"/>
    <w:rPr>
      <w:rFonts w:eastAsiaTheme="majorEastAsia" w:cstheme="majorBidi"/>
      <w:color w:val="595959" w:themeColor="text1" w:themeTint="A6"/>
    </w:rPr>
  </w:style>
  <w:style w:type="character" w:customStyle="1" w:styleId="80">
    <w:name w:val="Заголовок 8 Знак"/>
    <w:basedOn w:val="a0"/>
    <w:link w:val="8"/>
    <w:uiPriority w:val="9"/>
    <w:semiHidden/>
    <w:rsid w:val="00A529A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529A5"/>
    <w:rPr>
      <w:rFonts w:eastAsiaTheme="majorEastAsia" w:cstheme="majorBidi"/>
      <w:color w:val="272727" w:themeColor="text1" w:themeTint="D8"/>
    </w:rPr>
  </w:style>
  <w:style w:type="paragraph" w:styleId="a3">
    <w:name w:val="Title"/>
    <w:basedOn w:val="a"/>
    <w:next w:val="a"/>
    <w:link w:val="a4"/>
    <w:uiPriority w:val="10"/>
    <w:qFormat/>
    <w:rsid w:val="00A52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529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29A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529A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529A5"/>
    <w:pPr>
      <w:spacing w:before="160"/>
      <w:jc w:val="center"/>
    </w:pPr>
    <w:rPr>
      <w:i/>
      <w:iCs/>
      <w:color w:val="404040" w:themeColor="text1" w:themeTint="BF"/>
    </w:rPr>
  </w:style>
  <w:style w:type="character" w:customStyle="1" w:styleId="22">
    <w:name w:val="Цитата 2 Знак"/>
    <w:basedOn w:val="a0"/>
    <w:link w:val="21"/>
    <w:uiPriority w:val="29"/>
    <w:rsid w:val="00A529A5"/>
    <w:rPr>
      <w:i/>
      <w:iCs/>
      <w:color w:val="404040" w:themeColor="text1" w:themeTint="BF"/>
    </w:rPr>
  </w:style>
  <w:style w:type="paragraph" w:styleId="a7">
    <w:name w:val="List Paragraph"/>
    <w:basedOn w:val="a"/>
    <w:uiPriority w:val="34"/>
    <w:qFormat/>
    <w:rsid w:val="00A529A5"/>
    <w:pPr>
      <w:ind w:left="720"/>
      <w:contextualSpacing/>
    </w:pPr>
  </w:style>
  <w:style w:type="character" w:styleId="a8">
    <w:name w:val="Intense Emphasis"/>
    <w:basedOn w:val="a0"/>
    <w:uiPriority w:val="21"/>
    <w:qFormat/>
    <w:rsid w:val="00A529A5"/>
    <w:rPr>
      <w:i/>
      <w:iCs/>
      <w:color w:val="0F4761" w:themeColor="accent1" w:themeShade="BF"/>
    </w:rPr>
  </w:style>
  <w:style w:type="paragraph" w:styleId="a9">
    <w:name w:val="Intense Quote"/>
    <w:basedOn w:val="a"/>
    <w:next w:val="a"/>
    <w:link w:val="aa"/>
    <w:uiPriority w:val="30"/>
    <w:qFormat/>
    <w:rsid w:val="00A529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529A5"/>
    <w:rPr>
      <w:i/>
      <w:iCs/>
      <w:color w:val="0F4761" w:themeColor="accent1" w:themeShade="BF"/>
    </w:rPr>
  </w:style>
  <w:style w:type="character" w:styleId="ab">
    <w:name w:val="Intense Reference"/>
    <w:basedOn w:val="a0"/>
    <w:uiPriority w:val="32"/>
    <w:qFormat/>
    <w:rsid w:val="00A529A5"/>
    <w:rPr>
      <w:b/>
      <w:bCs/>
      <w:smallCaps/>
      <w:color w:val="0F4761" w:themeColor="accent1" w:themeShade="BF"/>
      <w:spacing w:val="5"/>
    </w:rPr>
  </w:style>
  <w:style w:type="character" w:styleId="ac">
    <w:name w:val="Hyperlink"/>
    <w:basedOn w:val="a0"/>
    <w:uiPriority w:val="99"/>
    <w:unhideWhenUsed/>
    <w:rsid w:val="00A529A5"/>
    <w:rPr>
      <w:color w:val="467886" w:themeColor="hyperlink"/>
      <w:u w:val="single"/>
    </w:rPr>
  </w:style>
  <w:style w:type="character" w:styleId="ad">
    <w:name w:val="Unresolved Mention"/>
    <w:basedOn w:val="a0"/>
    <w:uiPriority w:val="99"/>
    <w:semiHidden/>
    <w:unhideWhenUsed/>
    <w:rsid w:val="00A529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krfkod.ru/statja-679/"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yandex.ru/adfox/692978/goLink?ad-session-id=2016311787920778391&amp;adfox-version=1&amp;duid=1787916300885466341&amp;efc=1&amp;esc=0&amp;ifd=1&amp;initial-engine-id=gxs&amp;laas_region_id=pwx&amp;p1=cuoyo&amp;p2=hsgb&amp;sj=V0Jn-f-Kxa1PikyryElAvZVlrZHKMyus7isck5dJQFZVpxhiKKtHdUpB5a-DpIbjYg7IOAmdkwGs6NdkNV9wB07IepLsYO85Za3cu8HIHY967zaUAKpjcg5tfmZsEghA2WVPHbqV-dVrtzShsla0PzBBIZ-sKX8SoN4dsZG77Ap-QP71WcC72WovFYYxoewaTmk74EFG_lxQlQjbCOIyr1s8x2weivU_a5GmWj0JGqXRWDMj1kes6G_oY5KpNezAodESEWus5X4f4w1xewi4hRhGTyjCCNa1cf-0L9m3PaWJrW2W-saLldkYw1hEe45JQ5To45lvjdK2p9xMYYARVLwgCUU1rRWINRemJtvr2N7gKzFPxOXvDJjeGTEmWral2CwsDeaCzY5sxlR8R0_q5tkWNugPzGqYw-TtPO7pl4q32qx7OUOO&amp;ybv=0.1306379&amp;ylv=0.1306379&amp;ytt=428259779018757" TargetMode="External"/><Relationship Id="rId12" Type="http://schemas.openxmlformats.org/officeDocument/2006/relationships/hyperlink" Target="https://gkrfkod.ru/statja-67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krfkod.ru/statja-679/" TargetMode="External"/><Relationship Id="rId1" Type="http://schemas.openxmlformats.org/officeDocument/2006/relationships/numbering" Target="numbering.xml"/><Relationship Id="rId6" Type="http://schemas.openxmlformats.org/officeDocument/2006/relationships/hyperlink" Target="https://gkrfkod.ru/statja-680/" TargetMode="External"/><Relationship Id="rId11" Type="http://schemas.openxmlformats.org/officeDocument/2006/relationships/hyperlink" Target="https://gkrfkod.ru/statja-674/" TargetMode="External"/><Relationship Id="rId5" Type="http://schemas.openxmlformats.org/officeDocument/2006/relationships/hyperlink" Target="https://gkrfkod.ru/statja-678/" TargetMode="External"/><Relationship Id="rId15" Type="http://schemas.openxmlformats.org/officeDocument/2006/relationships/hyperlink" Target="https://gkrfkod.ru/pract/opredelenie-konstitutsionnogo-suda-rf-ot-28012025-n-158-o/" TargetMode="External"/><Relationship Id="rId10" Type="http://schemas.openxmlformats.org/officeDocument/2006/relationships/hyperlink" Target="https://gkrfkod.ru/statja-671/" TargetMode="External"/><Relationship Id="rId4" Type="http://schemas.openxmlformats.org/officeDocument/2006/relationships/webSettings" Target="webSettings.xml"/><Relationship Id="rId9" Type="http://schemas.openxmlformats.org/officeDocument/2006/relationships/hyperlink" Target="https://gkrfkod.ru/pract/opredelenie-verkhovnogo-suda-rf-ot-30032020-n-305-es20-2112-po-delu-n-a40-2520022018/" TargetMode="External"/><Relationship Id="rId14" Type="http://schemas.openxmlformats.org/officeDocument/2006/relationships/hyperlink" Target="https://gkrfkod.ru/statja-68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524</Words>
  <Characters>2987</Characters>
  <Application>Microsoft Office Word</Application>
  <DocSecurity>0</DocSecurity>
  <Lines>24</Lines>
  <Paragraphs>7</Paragraphs>
  <ScaleCrop>false</ScaleCrop>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2026-08-28T12:40:00Z</dcterms:created>
  <dcterms:modified xsi:type="dcterms:W3CDTF">2026-08-28T12:40:00Z</dcterms:modified>
</cp:coreProperties>
</file>