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79BD" w14:textId="77777777" w:rsidR="008F07EC" w:rsidRPr="008F07EC" w:rsidRDefault="008F07EC" w:rsidP="008F07EC">
      <w:r w:rsidRPr="008F07EC">
        <w:t>1. Размер платы за жилое помещение устанавливается по соглашению сторон в договоре найма жилого помещения. В случае, если в соответствии с законом установлен максимальный размер платы за жилое помещение, плата, установленная в договоре, не должна превышать этот размер.</w:t>
      </w:r>
    </w:p>
    <w:p w14:paraId="7BB4016D" w14:textId="77777777" w:rsidR="008F07EC" w:rsidRPr="008F07EC" w:rsidRDefault="008F07EC" w:rsidP="008F07EC">
      <w:r w:rsidRPr="008F07EC">
        <w:t>2. Одностороннее изменение размера платы за жилое помещение не допускается, за исключением случаев, предусмотренных законом или договором.</w:t>
      </w:r>
    </w:p>
    <w:p w14:paraId="43A7B486" w14:textId="77777777" w:rsidR="008F07EC" w:rsidRPr="008F07EC" w:rsidRDefault="008F07EC" w:rsidP="008F07EC">
      <w:r w:rsidRPr="008F07EC">
        <w:t>3. Плата за жилое помещение должна вноситься нанимателем в сроки,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кодексом Российской Федерации.</w:t>
      </w:r>
    </w:p>
    <w:p w14:paraId="13C55153" w14:textId="77777777" w:rsidR="008F07EC" w:rsidRPr="008F07EC" w:rsidRDefault="008F07EC" w:rsidP="008F07EC">
      <w:pPr>
        <w:numPr>
          <w:ilvl w:val="0"/>
          <w:numId w:val="1"/>
        </w:numPr>
      </w:pPr>
      <w:hyperlink r:id="rId5" w:history="1">
        <w:r w:rsidRPr="008F07EC">
          <w:rPr>
            <w:rStyle w:val="ac"/>
          </w:rPr>
          <w:t>Статья 681. Ремонт сданного внаем жилого помещения</w:t>
        </w:r>
      </w:hyperlink>
    </w:p>
    <w:p w14:paraId="13CD8C0F" w14:textId="77777777" w:rsidR="008F07EC" w:rsidRPr="008F07EC" w:rsidRDefault="008F07EC" w:rsidP="008F07EC">
      <w:pPr>
        <w:numPr>
          <w:ilvl w:val="0"/>
          <w:numId w:val="1"/>
        </w:numPr>
      </w:pPr>
      <w:hyperlink r:id="rId6" w:history="1">
        <w:r w:rsidRPr="008F07EC">
          <w:rPr>
            <w:rStyle w:val="ac"/>
          </w:rPr>
          <w:t>Статья 683. Срок в договоре найма жилого помещения</w:t>
        </w:r>
      </w:hyperlink>
    </w:p>
    <w:p w14:paraId="4F82EA0C" w14:textId="3F37C72F" w:rsidR="008F07EC" w:rsidRPr="008F07EC" w:rsidRDefault="008F07EC" w:rsidP="008F07EC">
      <w:r w:rsidRPr="008F07EC">
        <w:drawing>
          <wp:inline distT="0" distB="0" distL="0" distR="0" wp14:anchorId="708B6A64" wp14:editId="648E3944">
            <wp:extent cx="5940425" cy="427990"/>
            <wp:effectExtent l="0" t="0" r="3175" b="0"/>
            <wp:docPr id="269837311"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6C59BCF3" w14:textId="77777777" w:rsidR="008F07EC" w:rsidRPr="008F07EC" w:rsidRDefault="008F07EC" w:rsidP="008F07EC">
      <w:r w:rsidRPr="008F07EC">
        <w:t>Судебная практика по статье 682 ГК РФ</w:t>
      </w:r>
    </w:p>
    <w:p w14:paraId="49B2BA60" w14:textId="77777777" w:rsidR="008F07EC" w:rsidRPr="008F07EC" w:rsidRDefault="008F07EC" w:rsidP="008F07EC">
      <w:hyperlink r:id="rId9" w:tooltip="Определение Конституционного Суда РФ от 27.02.2018 N 449-О" w:history="1">
        <w:r w:rsidRPr="008F07EC">
          <w:rPr>
            <w:rStyle w:val="ac"/>
          </w:rPr>
          <w:t>Определение Конституционного Суда РФ от 27.02.2018 N 449-О</w:t>
        </w:r>
      </w:hyperlink>
    </w:p>
    <w:p w14:paraId="68A4D7B4" w14:textId="77777777" w:rsidR="008F07EC" w:rsidRPr="008F07EC" w:rsidRDefault="008F07EC" w:rsidP="008F07EC">
      <w:r w:rsidRPr="008F07EC">
        <w:t>1. В своей жалобе в Конституционный Суд Российской Федерации гражданка Т.Б. Балакина просит признать нарушающими Конституцию Российской Федерации и отменить судебные постановления, принятые по делам с ее участием, и указывает на несоответствие Конституции Российской Федерации, в частности ее статьям 1, 2, 8 (часть 1), 11, 17, 18, 19, 21, 22, 24 (часть 2), 30 (часть 1), 34 (часть 2), 35, 45, 46, 52, 53, 55, 80 (часть 2) и 120, следующих нормативных положений: статей 179, 309, 330, пункта 1 статьи 422, статей </w:t>
      </w:r>
      <w:hyperlink r:id="rId10" w:history="1">
        <w:r w:rsidRPr="008F07EC">
          <w:rPr>
            <w:rStyle w:val="ac"/>
          </w:rPr>
          <w:t>678</w:t>
        </w:r>
      </w:hyperlink>
      <w:r w:rsidRPr="008F07EC">
        <w:t> и </w:t>
      </w:r>
      <w:hyperlink r:id="rId11" w:history="1">
        <w:r w:rsidRPr="008F07EC">
          <w:rPr>
            <w:rStyle w:val="ac"/>
          </w:rPr>
          <w:t>682</w:t>
        </w:r>
      </w:hyperlink>
      <w:r w:rsidRPr="008F07EC">
        <w:t> ГК Российской Федерации; части 3 статьи 30, статей 69 и 153, частей 1, 2 и 14 статьи 155, части 14 статьи 161, части 1 статьи 162 Жилищного кодекса Российской Федерации; статей 2, 8, 11, 12, частей первой и третьей статьи 38, статьи 47, части первой статьи 57, статей 61, 67 и 101, части второй статьи 195, статей 196, 198, абзаца третьего статьи 220, статей 221 и 392 ГПК Российской Федерации; Федерального закона от 30 декабря 2004 года N </w:t>
      </w:r>
      <w:hyperlink r:id="rId12" w:history="1">
        <w:r w:rsidRPr="008F07EC">
          <w:rPr>
            <w:rStyle w:val="ac"/>
          </w:rPr>
          <w:t>214-ФЗ</w:t>
        </w:r>
      </w:hyperlink>
      <w:r w:rsidRPr="008F07EC">
        <w:t>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подпункта 3 пункта 52 Правил предоставления коммунальных услуг гражданам (утверждены постановлением Правительства Российской Федерации от 23 мая 2006 года N 307).</w:t>
      </w:r>
      <w:r w:rsidRPr="008F07EC">
        <w:br/>
      </w:r>
    </w:p>
    <w:p w14:paraId="16F404A3" w14:textId="77777777" w:rsidR="008F07EC" w:rsidRPr="008F07EC" w:rsidRDefault="008F07EC" w:rsidP="008F07EC">
      <w:r w:rsidRPr="008F07EC">
        <w:br/>
      </w:r>
      <w:hyperlink r:id="rId13" w:tooltip="Определение Верховного Суда РФ от 30.03.2020 N 305-ЭС20-2112 по делу N А40-252002/2018" w:history="1">
        <w:r w:rsidRPr="008F07EC">
          <w:rPr>
            <w:rStyle w:val="ac"/>
          </w:rPr>
          <w:t>Определение Верховного Суда РФ от 30.03.2020 N 305-ЭС20-2112 по делу N А40-252002/2018</w:t>
        </w:r>
      </w:hyperlink>
    </w:p>
    <w:p w14:paraId="2A629870" w14:textId="77777777" w:rsidR="008F07EC" w:rsidRPr="008F07EC" w:rsidRDefault="008F07EC" w:rsidP="008F07EC">
      <w:r w:rsidRPr="008F07EC">
        <w:lastRenderedPageBreak/>
        <w:t>Оценив представленные в материалы дела доказательства по правилам статьи 71 Арбитражного процессуального кодекса Российской Федерации, в том числе платежные поручения о выплате военнослужащим истцом понесенных ими расходов за наем (поднаем) жилых помещений, ведомостями на зачисление заработной платы и других выплат, реестрами денежных средств по результатам зачислений, договорами найма (поднайма) жилых помещений на каждого военнослужащего, установив факт несения учреждением расходов на выплату компенсации оплаты найма военнослужащими жилых помещений за период с 01.09.2017 по 30.06.2018 и непредставления институтом доказательств их возмещения, суд, руководствуясь статьями 307, 309 - 310, </w:t>
      </w:r>
      <w:hyperlink r:id="rId14" w:history="1">
        <w:r w:rsidRPr="008F07EC">
          <w:rPr>
            <w:rStyle w:val="ac"/>
          </w:rPr>
          <w:t>671</w:t>
        </w:r>
      </w:hyperlink>
      <w:r w:rsidRPr="008F07EC">
        <w:t>, </w:t>
      </w:r>
      <w:hyperlink r:id="rId15" w:history="1">
        <w:r w:rsidRPr="008F07EC">
          <w:rPr>
            <w:rStyle w:val="ac"/>
          </w:rPr>
          <w:t>674</w:t>
        </w:r>
      </w:hyperlink>
      <w:r w:rsidRPr="008F07EC">
        <w:t>, </w:t>
      </w:r>
      <w:hyperlink r:id="rId16" w:history="1">
        <w:r w:rsidRPr="008F07EC">
          <w:rPr>
            <w:rStyle w:val="ac"/>
          </w:rPr>
          <w:t>678</w:t>
        </w:r>
      </w:hyperlink>
      <w:r w:rsidRPr="008F07EC">
        <w:t>, </w:t>
      </w:r>
      <w:hyperlink r:id="rId17" w:history="1">
        <w:r w:rsidRPr="008F07EC">
          <w:rPr>
            <w:rStyle w:val="ac"/>
          </w:rPr>
          <w:t>679</w:t>
        </w:r>
      </w:hyperlink>
      <w:r w:rsidRPr="008F07EC">
        <w:t>, </w:t>
      </w:r>
      <w:hyperlink r:id="rId18" w:history="1">
        <w:r w:rsidRPr="008F07EC">
          <w:rPr>
            <w:rStyle w:val="ac"/>
          </w:rPr>
          <w:t>682</w:t>
        </w:r>
      </w:hyperlink>
      <w:r w:rsidRPr="008F07EC">
        <w:t> Гражданского кодекса Российской Федерации, статьей 27 Федерального закона от 03.07.2016 N 226-ФЗ "О войсках национальной гвардии Российской Федерации", пунктом 2 постановления Правительства РФ от 31.12.2004 N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приказом Министра обороны Российской Федерации от 27.05.2016 N 303, требования удовлетворил частично, исходя из того, что часть из исчисленных истцом расходов ранее была взыскана в рамках дела N А40-208274/17-76-1423, обусловлена допущенными арифметическими ошибками, а также не имеет надлежащего документального подтверждения факта их несения.</w:t>
      </w:r>
      <w:r w:rsidRPr="008F07EC">
        <w:br/>
      </w:r>
    </w:p>
    <w:p w14:paraId="237ED582" w14:textId="77777777" w:rsidR="008F07EC" w:rsidRPr="008F07EC" w:rsidRDefault="008F07EC" w:rsidP="008F07EC">
      <w:r w:rsidRPr="008F07EC">
        <w:br/>
      </w:r>
      <w:hyperlink r:id="rId19" w:tooltip="Апелляционное определение Апелляционной коллегии Верховного Суда РФ от 16.05.2017 N АПЛ17-124" w:history="1">
        <w:r w:rsidRPr="008F07EC">
          <w:rPr>
            <w:rStyle w:val="ac"/>
          </w:rPr>
          <w:t>Апелляционное определение Апелляционной коллегии Верховного Суда РФ от 16.05.2017 N АПЛ17-124</w:t>
        </w:r>
      </w:hyperlink>
    </w:p>
    <w:p w14:paraId="53D1A761" w14:textId="77777777" w:rsidR="008F07EC" w:rsidRPr="008F07EC" w:rsidRDefault="008F07EC" w:rsidP="008F07EC">
      <w:r w:rsidRPr="008F07EC">
        <w:t>Ссылка в апелляционной жалобе на абзац шестой статьи 316, пункт 1 статьи </w:t>
      </w:r>
      <w:hyperlink r:id="rId20" w:history="1">
        <w:r w:rsidRPr="008F07EC">
          <w:rPr>
            <w:rStyle w:val="ac"/>
          </w:rPr>
          <w:t>671</w:t>
        </w:r>
      </w:hyperlink>
      <w:r w:rsidRPr="008F07EC">
        <w:t>, пункт 2 статьи </w:t>
      </w:r>
      <w:hyperlink r:id="rId21" w:history="1">
        <w:r w:rsidRPr="008F07EC">
          <w:rPr>
            <w:rStyle w:val="ac"/>
          </w:rPr>
          <w:t>676</w:t>
        </w:r>
      </w:hyperlink>
      <w:r w:rsidRPr="008F07EC">
        <w:t>, пункт 3 статьи </w:t>
      </w:r>
      <w:hyperlink r:id="rId22" w:history="1">
        <w:r w:rsidRPr="008F07EC">
          <w:rPr>
            <w:rStyle w:val="ac"/>
          </w:rPr>
          <w:t>682</w:t>
        </w:r>
      </w:hyperlink>
      <w:r w:rsidRPr="008F07EC">
        <w:t> Гражданского кодекса Российской Федерации не опровергает вывод суда первой инстанции о законности оспариваемых в части Правил, поскольку названные нормы гражданского законодательства непосредственно не затрагивают вопросы, связанные с поставкой газа для обеспечения коммунально-бытовых нужд граждан.</w:t>
      </w:r>
    </w:p>
    <w:p w14:paraId="3078F8E5" w14:textId="77777777" w:rsidR="008F07EC" w:rsidRDefault="008F07EC"/>
    <w:sectPr w:rsidR="008F07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05D5E"/>
    <w:multiLevelType w:val="multilevel"/>
    <w:tmpl w:val="73D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6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7EC"/>
    <w:rsid w:val="008F07EC"/>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24F04"/>
  <w15:chartTrackingRefBased/>
  <w15:docId w15:val="{B5830D80-08F0-417F-82F3-42DE9B12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0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0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07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07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07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07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07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07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07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07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07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07E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07E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07E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07E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07EC"/>
    <w:rPr>
      <w:rFonts w:eastAsiaTheme="majorEastAsia" w:cstheme="majorBidi"/>
      <w:color w:val="595959" w:themeColor="text1" w:themeTint="A6"/>
    </w:rPr>
  </w:style>
  <w:style w:type="character" w:customStyle="1" w:styleId="80">
    <w:name w:val="Заголовок 8 Знак"/>
    <w:basedOn w:val="a0"/>
    <w:link w:val="8"/>
    <w:uiPriority w:val="9"/>
    <w:semiHidden/>
    <w:rsid w:val="008F07E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07EC"/>
    <w:rPr>
      <w:rFonts w:eastAsiaTheme="majorEastAsia" w:cstheme="majorBidi"/>
      <w:color w:val="272727" w:themeColor="text1" w:themeTint="D8"/>
    </w:rPr>
  </w:style>
  <w:style w:type="paragraph" w:styleId="a3">
    <w:name w:val="Title"/>
    <w:basedOn w:val="a"/>
    <w:next w:val="a"/>
    <w:link w:val="a4"/>
    <w:uiPriority w:val="10"/>
    <w:qFormat/>
    <w:rsid w:val="008F0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07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07E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07E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07EC"/>
    <w:pPr>
      <w:spacing w:before="160"/>
      <w:jc w:val="center"/>
    </w:pPr>
    <w:rPr>
      <w:i/>
      <w:iCs/>
      <w:color w:val="404040" w:themeColor="text1" w:themeTint="BF"/>
    </w:rPr>
  </w:style>
  <w:style w:type="character" w:customStyle="1" w:styleId="22">
    <w:name w:val="Цитата 2 Знак"/>
    <w:basedOn w:val="a0"/>
    <w:link w:val="21"/>
    <w:uiPriority w:val="29"/>
    <w:rsid w:val="008F07EC"/>
    <w:rPr>
      <w:i/>
      <w:iCs/>
      <w:color w:val="404040" w:themeColor="text1" w:themeTint="BF"/>
    </w:rPr>
  </w:style>
  <w:style w:type="paragraph" w:styleId="a7">
    <w:name w:val="List Paragraph"/>
    <w:basedOn w:val="a"/>
    <w:uiPriority w:val="34"/>
    <w:qFormat/>
    <w:rsid w:val="008F07EC"/>
    <w:pPr>
      <w:ind w:left="720"/>
      <w:contextualSpacing/>
    </w:pPr>
  </w:style>
  <w:style w:type="character" w:styleId="a8">
    <w:name w:val="Intense Emphasis"/>
    <w:basedOn w:val="a0"/>
    <w:uiPriority w:val="21"/>
    <w:qFormat/>
    <w:rsid w:val="008F07EC"/>
    <w:rPr>
      <w:i/>
      <w:iCs/>
      <w:color w:val="0F4761" w:themeColor="accent1" w:themeShade="BF"/>
    </w:rPr>
  </w:style>
  <w:style w:type="paragraph" w:styleId="a9">
    <w:name w:val="Intense Quote"/>
    <w:basedOn w:val="a"/>
    <w:next w:val="a"/>
    <w:link w:val="aa"/>
    <w:uiPriority w:val="30"/>
    <w:qFormat/>
    <w:rsid w:val="008F0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F07EC"/>
    <w:rPr>
      <w:i/>
      <w:iCs/>
      <w:color w:val="0F4761" w:themeColor="accent1" w:themeShade="BF"/>
    </w:rPr>
  </w:style>
  <w:style w:type="character" w:styleId="ab">
    <w:name w:val="Intense Reference"/>
    <w:basedOn w:val="a0"/>
    <w:uiPriority w:val="32"/>
    <w:qFormat/>
    <w:rsid w:val="008F07EC"/>
    <w:rPr>
      <w:b/>
      <w:bCs/>
      <w:smallCaps/>
      <w:color w:val="0F4761" w:themeColor="accent1" w:themeShade="BF"/>
      <w:spacing w:val="5"/>
    </w:rPr>
  </w:style>
  <w:style w:type="character" w:styleId="ac">
    <w:name w:val="Hyperlink"/>
    <w:basedOn w:val="a0"/>
    <w:uiPriority w:val="99"/>
    <w:unhideWhenUsed/>
    <w:rsid w:val="008F07EC"/>
    <w:rPr>
      <w:color w:val="467886" w:themeColor="hyperlink"/>
      <w:u w:val="single"/>
    </w:rPr>
  </w:style>
  <w:style w:type="character" w:styleId="ad">
    <w:name w:val="Unresolved Mention"/>
    <w:basedOn w:val="a0"/>
    <w:uiPriority w:val="99"/>
    <w:semiHidden/>
    <w:unhideWhenUsed/>
    <w:rsid w:val="008F0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pract/opredelenie-verkhovnogo-suda-rf-ot-30032020-n-305-es20-2112-po-delu-n-a40-2520022018/" TargetMode="External"/><Relationship Id="rId18" Type="http://schemas.openxmlformats.org/officeDocument/2006/relationships/hyperlink" Target="https://gkrfkod.ru/statja-682/" TargetMode="External"/><Relationship Id="rId3" Type="http://schemas.openxmlformats.org/officeDocument/2006/relationships/settings" Target="settings.xml"/><Relationship Id="rId21" Type="http://schemas.openxmlformats.org/officeDocument/2006/relationships/hyperlink" Target="https://gkrfkod.ru/statja-676/" TargetMode="External"/><Relationship Id="rId7" Type="http://schemas.openxmlformats.org/officeDocument/2006/relationships/hyperlink" Target="http://yandex.ru/adfox/692978/goLink?ad-session-id=8356961787921042593&amp;adfox-version=1&amp;duid=1787916300885466341&amp;efc=1&amp;esc=0&amp;ifd=1&amp;initial-engine-id=gxz&amp;laas_region_id=pwx&amp;p1=cuoyo&amp;p2=hsgb&amp;sj=EAClFauKgCtAlrfokdWUho5pyPPDq_2sjSMZ08vdeoUIbZycnr1SJUTxyhtI5ork7ZU1S28FwzIkKILqcPc5BBaRoiEXCKvRVE4s8I3Ky81v5KSyBD6lHuI0hpSrrt_Mr0zRJbp9Pxr3mHAv0h8EXqC-6dMTc7cmSY2s6vRZdRc3uIZGWnvQQdtaVXYy1hZS2nK6nSgIBIbP3i7hagzlq0pbZJmYbVn7O23kdCvUJRQJSKDdNvtNGd1WW4litk7r8sYTbjQZUXZXEw0J13WKRvpE6UDcBNEqQDPHNuHzSThHfkLQ6v-qK6mGiVx5gPiah2JpTVgzOdGZmQDKX0nPbzBj2_05mgjGwVpIWEYCEYAzeMesJWZ89bh5R5WI84nWXuUnh71n0pnS8R3pfypgHD9H1bl6h3NRKarXsadpw8-B8dnrStte&amp;ybv=0.1306379&amp;ylv=0.1306379&amp;ytt=428259779018757" TargetMode="External"/><Relationship Id="rId12" Type="http://schemas.openxmlformats.org/officeDocument/2006/relationships/hyperlink" Target="https://gkrfkod.ru/zakonodatelstvo/federalnyi-zakon-ot-30122004-n-214-fz/" TargetMode="External"/><Relationship Id="rId17" Type="http://schemas.openxmlformats.org/officeDocument/2006/relationships/hyperlink" Target="https://gkrfkod.ru/statja-679/" TargetMode="External"/><Relationship Id="rId2" Type="http://schemas.openxmlformats.org/officeDocument/2006/relationships/styles" Target="styles.xml"/><Relationship Id="rId16" Type="http://schemas.openxmlformats.org/officeDocument/2006/relationships/hyperlink" Target="https://gkrfkod.ru/statja-678/" TargetMode="External"/><Relationship Id="rId20" Type="http://schemas.openxmlformats.org/officeDocument/2006/relationships/hyperlink" Target="https://gkrfkod.ru/statja-671/" TargetMode="External"/><Relationship Id="rId1" Type="http://schemas.openxmlformats.org/officeDocument/2006/relationships/numbering" Target="numbering.xml"/><Relationship Id="rId6" Type="http://schemas.openxmlformats.org/officeDocument/2006/relationships/hyperlink" Target="https://gkrfkod.ru/statja-683/" TargetMode="External"/><Relationship Id="rId11" Type="http://schemas.openxmlformats.org/officeDocument/2006/relationships/hyperlink" Target="https://gkrfkod.ru/statja-682/" TargetMode="External"/><Relationship Id="rId24" Type="http://schemas.openxmlformats.org/officeDocument/2006/relationships/theme" Target="theme/theme1.xml"/><Relationship Id="rId5" Type="http://schemas.openxmlformats.org/officeDocument/2006/relationships/hyperlink" Target="https://gkrfkod.ru/statja-681/" TargetMode="External"/><Relationship Id="rId15" Type="http://schemas.openxmlformats.org/officeDocument/2006/relationships/hyperlink" Target="https://gkrfkod.ru/statja-674/" TargetMode="External"/><Relationship Id="rId23" Type="http://schemas.openxmlformats.org/officeDocument/2006/relationships/fontTable" Target="fontTable.xml"/><Relationship Id="rId10" Type="http://schemas.openxmlformats.org/officeDocument/2006/relationships/hyperlink" Target="https://gkrfkod.ru/statja-678/" TargetMode="External"/><Relationship Id="rId19" Type="http://schemas.openxmlformats.org/officeDocument/2006/relationships/hyperlink" Target="https://gkrfkod.ru/pract/apelliatsionnoe-opredelenie-verkhovnogo-suda-rf-ot-16052017-n-apl17-124/" TargetMode="External"/><Relationship Id="rId4" Type="http://schemas.openxmlformats.org/officeDocument/2006/relationships/webSettings" Target="webSettings.xml"/><Relationship Id="rId9" Type="http://schemas.openxmlformats.org/officeDocument/2006/relationships/hyperlink" Target="https://gkrfkod.ru/pract/opredelenie-konstitutsionnogo-suda-rf-ot-27022018-n-449-o/" TargetMode="External"/><Relationship Id="rId14" Type="http://schemas.openxmlformats.org/officeDocument/2006/relationships/hyperlink" Target="https://gkrfkod.ru/statja-671/" TargetMode="External"/><Relationship Id="rId22" Type="http://schemas.openxmlformats.org/officeDocument/2006/relationships/hyperlink" Target="https://gkrfkod.ru/statja-6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2026-08-28T12:44:00Z</dcterms:created>
  <dcterms:modified xsi:type="dcterms:W3CDTF">2026-08-28T12:44:00Z</dcterms:modified>
</cp:coreProperties>
</file>