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le770d3gy3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ingest.py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Libraries Used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6.2575191095166"/>
        <w:gridCol w:w="6279.254291914107"/>
        <w:tblGridChange w:id="0">
          <w:tblGrid>
            <w:gridCol w:w="2746.2575191095166"/>
            <w:gridCol w:w="6279.2542919141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We Used 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into Python. Used to check if the PDF file exists on your computer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argparse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into Python. Lets you pass the PDF path from the command line like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--doc file.pdf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pdfplumber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 and reads PDF files. Extracts all the text from every page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langchain_text_splitters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Cuts the big text into small 500-character chunks with 50-character overlap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sentence_transformers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Converts text chunks into numbers (vectors) so the computer understands meaning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filing cabinet — stores all the numbered chunks and lets us search them later</w:t>
            </w:r>
          </w:p>
        </w:tc>
      </w:tr>
    </w:tbl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xvmoftc3a1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rag.py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Libraries Used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3.7432908866904"/>
        <w:gridCol w:w="6601.768520136933"/>
        <w:tblGridChange w:id="0">
          <w:tblGrid>
            <w:gridCol w:w="2423.7432908866904"/>
            <w:gridCol w:w="6601.7685201369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We Used 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into Python. Reads your secret API key from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file safely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into Python. Works like a stopwatch — measures how long the AI takes to reply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Sends your question to the DeepInfra AI over the internet (HTTP request)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sentence_transformers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as ingest.py — converts your question into numbers to search ChromaDB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 the filing cabinet we created in ingest.py and searches it</w:t>
            </w:r>
          </w:p>
        </w:tc>
      </w:tr>
    </w:tbl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rmr76m9afh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Libraries Used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.9147652789325"/>
        <w:gridCol w:w="7429.597045744691"/>
        <w:tblGridChange w:id="0">
          <w:tblGrid>
            <w:gridCol w:w="1595.9147652789325"/>
            <w:gridCol w:w="7429.5970457446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We Used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into Python. Safely displays text on screen without breaking the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Turns your Python code into a website automatically — the entire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Reads your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file and loads the API key into Python automatically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Checks if the database is ready before the app starts</w:t>
            </w:r>
          </w:p>
        </w:tc>
      </w:tr>
    </w:tbl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ws1li104r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Model Used</w:t>
      </w:r>
    </w:p>
    <w:tbl>
      <w:tblPr>
        <w:tblStyle w:val="Table4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6695"/>
        <w:tblGridChange w:id="0">
          <w:tblGrid>
            <w:gridCol w:w="2090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meta-llama/Meta-Llama-3.1-8B-Instruct-Turbo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Made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(Facebook's parent company)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Hosted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DeepInfra (a cloud platform that runs AI models)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8B 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Billion parameters — the size of the model's brain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 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is trained to follow instructions and answer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Turbo 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Faster and optimized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we talk to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 DeepInfra's API — same format as OpenAI so easy to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0.3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low means focused answers, not creative or random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512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maximum length of the answer it can give</w:t>
            </w:r>
          </w:p>
        </w:tc>
      </w:tr>
    </w:tbl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1new2xi0x5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Embedding Model Used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.0004049981035"/>
        <w:gridCol w:w="6440.51140602552"/>
        <w:tblGridChange w:id="0">
          <w:tblGrid>
            <w:gridCol w:w="2585.0004049981035"/>
            <w:gridCol w:w="6440.511406025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sentence-transformers/all-MiniLM-L6-v2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Converts text into 384 numbers (vectors) that represent meaning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Free, runs on your own computer, no API needed, fast and accurate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ingest.py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(for chunks)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rag.py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(for your question)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same model in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the numbers are in the same format and can be compared correctly</w:t>
            </w:r>
          </w:p>
        </w:tc>
      </w:tr>
    </w:tbl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54akcpete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requirements.txt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All Libraries Together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pdfplumber          ← read PDF</w:t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langchain           ← text splitting tools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langchain-text-splitters  ← CharacterTextSplitter</w:t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sentence-transformers     ← convert text to vectors</w:t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chromadb            ← vector database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requests            ← send HTTP calls to DeepInfra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streamlit           ← build the website UI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python-dotenv       ← load .env API key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81f"/>
          <w:rtl w:val="0"/>
        </w:rPr>
        <w:t xml:space="preserve">torch               ← required by sentence-transformers to run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soj7it2yp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— Upwork API Support Bot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Ingestion</w:t>
        <w:br w:type="textWrapping"/>
        <w:t xml:space="preserve"> The official Upwork API PDF is extracted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pdfplumber</w:t>
      </w:r>
      <w:r w:rsidDel="00000000" w:rsidR="00000000" w:rsidRPr="00000000">
        <w:rPr>
          <w:b w:val="1"/>
          <w:bCs w:val="1"/>
          <w:rtl w:val="0"/>
        </w:rPr>
        <w:t xml:space="preserve">. The text is split into newline-aware, overlapping chunks to preserve code blocks and API syntax.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 &amp; Vector Storage</w:t>
        <w:br w:type="textWrapping"/>
        <w:t xml:space="preserve"> Each chunk is converted into embeddings and stored in a persistent ChromaDB collection. The collection is recreated on each ingestion to avoid duplicate vectors.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Query Input</w:t>
        <w:br w:type="textWrapping"/>
        <w:t xml:space="preserve"> The user enters a question through the Streamlit interface.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(RAG)</w:t>
        <w:br w:type="textWrapping"/>
        <w:t xml:space="preserve"> The user query is embedded and compared against stored vectors using cosine similarity. The most relevant documentation chunks are retrieved.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Construction &amp; Hallucination Control</w:t>
        <w:br w:type="textWrapping"/>
        <w:t xml:space="preserve"> Retrieved chunks are injected into a strict system prompt that forces the LLM to answer only from the provided context, with a fallback for out-of-scope questions.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Inference</w:t>
        <w:br w:type="textWrapping"/>
        <w:t xml:space="preserve"> The prompt is sent to a DeepInfra-hosted Meta-Llama-3.1 model. Response latency is measured.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Presentation</w:t>
        <w:br w:type="textWrapping"/>
        <w:t xml:space="preserve"> The final answer, source chunks, and latency are displayed in the Streamlit UI.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Safety</w:t>
        <w:br w:type="textWrapping"/>
        <w:t xml:space="preserve"> On startup, the app checks for the vector database and automatically runs ingestion if missing, ensuring reliable Streamlit Cloud deployment.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.34645669291339" w:top="561.2598425196851" w:left="861.732283464567" w:right="86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