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81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Владимир 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динамику гармонического осциллятора и проанализировать его поведение в различных режимах.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затухания.</w:t>
      </w:r>
    </w:p>
    <w:p>
      <w:pPr>
        <w:pStyle w:val="Compact"/>
        <w:numPr>
          <w:ilvl w:val="0"/>
          <w:numId w:val="1001"/>
        </w:numPr>
      </w:pPr>
      <w:r>
        <w:t xml:space="preserve">Получить уравнение свободных затухающих колебаний, определить его решение и построить фазовый портрет.</w:t>
      </w:r>
    </w:p>
    <w:p>
      <w:pPr>
        <w:pStyle w:val="Compact"/>
        <w:numPr>
          <w:ilvl w:val="0"/>
          <w:numId w:val="1001"/>
        </w:numPr>
      </w:pPr>
      <w:r>
        <w:t xml:space="preserve">Исследовать осциллятор под действием внешней силы: записать уравнение, найти решение и построить фазовый портрет.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Множество физических процессов — движение груза на пружине, колебания маятника, поведение электрических цепей — можно описать с помощью одного и того же дифференциального уравнения. Данная модель известна как линейный гармонический осциллятор и широко применяется в различных областях науки.</w:t>
      </w:r>
    </w:p>
    <w:p>
      <w:pPr>
        <w:pStyle w:val="BodyText"/>
      </w:pPr>
      <w:r>
        <w:t xml:space="preserve">Общее уравнение движения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координата системы,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затухания,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частота.</w:t>
      </w:r>
    </w:p>
    <w:p>
      <w:pPr>
        <w:pStyle w:val="BodyText"/>
      </w:pPr>
      <w:r>
        <w:t xml:space="preserve">При отсутствии потерь энергии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 система становится консервативной: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определения конкретного решения задаются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Переход к системе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Соответствующие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Пара переменных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образует фазовое пространство. Траектории в этом пространстве отражают эволюцию системы во времени и формируют фазовый портрет, позволяющий оценить устойчивость и характер движения.</w:t>
      </w:r>
    </w:p>
    <w:bookmarkEnd w:id="22"/>
    <w:bookmarkStart w:id="24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Необходимо исследовать три варианта системы:</w:t>
      </w:r>
    </w:p>
    <w:p>
      <w:pPr>
        <w:numPr>
          <w:ilvl w:val="0"/>
          <w:numId w:val="1002"/>
        </w:numPr>
      </w:pPr>
      <w:r>
        <w:t xml:space="preserve">Без затухания и внешней силы: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и внешним воздействием: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0.3</m:t>
          </m:r>
          <m:r>
            <m:t>x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Интервал моделирования: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</w:t>
      </w:r>
      <w:r>
        <w:t xml:space="preserve"> </w:t>
      </w:r>
      <m:oMath>
        <m:r>
          <m:t>0.05</m:t>
        </m:r>
      </m:oMath>
      <w:r>
        <w:t xml:space="preserve">, начальные условия: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Start w:id="23" w:name="преобразование-моделей"/>
    <w:p>
      <w:pPr>
        <w:pStyle w:val="Heading3"/>
      </w:pPr>
      <w:r>
        <w:t xml:space="preserve">3.2.1 Преобразование моделей</w:t>
      </w:r>
    </w:p>
    <w:p>
      <w:pPr>
        <w:numPr>
          <w:ilvl w:val="0"/>
          <w:numId w:val="1003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внешней силой: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использовались внешние программные модули: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End w:id="24"/>
    <w:bookmarkStart w:id="25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5"/>
    <w:bookmarkStart w:id="26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2"/>
    <w:bookmarkEnd w:id="33"/>
    <w:bookmarkStart w:id="86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4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4"/>
    <w:bookmarkStart w:id="35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40"/>
    <w:bookmarkStart w:id="41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2"/>
    <w:bookmarkStart w:id="43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3"/>
    <w:bookmarkStart w:id="44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4"/>
    <w:bookmarkStart w:id="45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6"/>
    <w:bookmarkStart w:id="47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7"/>
    <w:bookmarkStart w:id="48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8"/>
    <w:bookmarkStart w:id="49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9"/>
    <w:bookmarkStart w:id="71" w:name="базовые-эксперименты"/>
    <w:p>
      <w:pPr>
        <w:pStyle w:val="Heading2"/>
      </w:pPr>
      <w:r>
        <w:t xml:space="preserve">4.17 Базовые эксперименты</w:t>
      </w:r>
    </w:p>
    <w:bookmarkStart w:id="56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1" name="Picture"/>
            <a:graphic>
              <a:graphicData uri="http://schemas.openxmlformats.org/drawingml/2006/picture">
                <pic:pic>
                  <pic:nvPicPr>
                    <pic:cNvPr descr="image/01j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4" name="Picture"/>
            <a:graphic>
              <a:graphicData uri="http://schemas.openxmlformats.org/drawingml/2006/picture">
                <pic:pic>
                  <pic:nvPicPr>
                    <pic:cNvPr descr="image/02j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На графике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наблюдается устойчивый периодический процесс. Амплитуда колебаний остаётся неизменной, что свидетельствует об отсутствии диссипации энергии.</w:t>
      </w:r>
    </w:p>
    <w:p>
      <w:pPr>
        <w:pStyle w:val="BodyText"/>
      </w:pPr>
      <w:r>
        <w:t xml:space="preserve">Система ведёт себя как идеальный осциллятор: движение строго повторяется, а энергия не убывает.</w:t>
      </w:r>
    </w:p>
    <w:p>
      <w:pPr>
        <w:pStyle w:val="BodyText"/>
      </w:pPr>
      <w:r>
        <w:t xml:space="preserve">Фазовый портрет представлен замкнутой траекторией, что подтверждает периодичность и устойчивость движения.</w:t>
      </w:r>
    </w:p>
    <w:p>
      <w:pPr>
        <w:pStyle w:val="BodyText"/>
      </w:pPr>
      <w:r>
        <w:t xml:space="preserve">Итак, первая модель описывает идеализированную систему без потерь энергии.</w:t>
      </w:r>
    </w:p>
    <w:bookmarkEnd w:id="56"/>
    <w:bookmarkStart w:id="63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8" name="Picture"/>
            <a:graphic>
              <a:graphicData uri="http://schemas.openxmlformats.org/drawingml/2006/picture">
                <pic:pic>
                  <pic:nvPicPr>
                    <pic:cNvPr descr="image/03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04j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быстрое затухание. Значение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стремительно уменьшается и стабилизируется около нуля.</w:t>
      </w:r>
    </w:p>
    <w:p>
      <w:pPr>
        <w:pStyle w:val="BodyText"/>
      </w:pPr>
      <w:r>
        <w:t xml:space="preserve">Причина такого поведения — наличие демпфирования, приводящего к рассеянию энергии.</w:t>
      </w:r>
    </w:p>
    <w:p>
      <w:pPr>
        <w:pStyle w:val="BodyText"/>
      </w:pPr>
      <w:r>
        <w:t xml:space="preserve">Фазовая траектория быстро сжимается к равновесию, что соответствует затухающему процессу.</w:t>
      </w:r>
    </w:p>
    <w:p>
      <w:pPr>
        <w:pStyle w:val="BodyText"/>
      </w:pPr>
      <w:r>
        <w:t xml:space="preserve">Таким образом, система переходит в состояние покоя за короткое время.</w:t>
      </w:r>
    </w:p>
    <w:bookmarkEnd w:id="63"/>
    <w:bookmarkStart w:id="70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5" name="Picture"/>
            <a:graphic>
              <a:graphicData uri="http://schemas.openxmlformats.org/drawingml/2006/picture">
                <pic:pic>
                  <pic:nvPicPr>
                    <pic:cNvPr descr="image/05j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06j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В данной модели действует внешняя сила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После начального затухания система выходит на режим устойчивых вынужденных колебаний.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демонстрирует малые, но постоянные колебания.</w:t>
      </w:r>
    </w:p>
    <w:p>
      <w:pPr>
        <w:pStyle w:val="BodyText"/>
      </w:pPr>
      <w:r>
        <w:t xml:space="preserve">Фазовый портрет формирует компактную замкнутую область, отражающую установившийся режим.</w:t>
      </w:r>
    </w:p>
    <w:p>
      <w:pPr>
        <w:pStyle w:val="BodyText"/>
      </w:pPr>
      <w:r>
        <w:t xml:space="preserve">Следовательно, внешнее воздействие компенсирует потери энергии.</w:t>
      </w:r>
    </w:p>
    <w:bookmarkEnd w:id="70"/>
    <w:bookmarkEnd w:id="71"/>
    <w:bookmarkStart w:id="80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5" w:name="траектории-xt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3" name="Picture"/>
            <a:graphic>
              <a:graphicData uri="http://schemas.openxmlformats.org/drawingml/2006/picture">
                <pic:pic>
                  <pic:nvPicPr>
                    <pic:cNvPr descr="image/parametric_scan_x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Параметры оказывают различное влияние:</w:t>
      </w:r>
    </w:p>
    <w:p>
      <w:pPr>
        <w:pStyle w:val="Compact"/>
        <w:numPr>
          <w:ilvl w:val="0"/>
          <w:numId w:val="1004"/>
        </w:numPr>
      </w:pPr>
      <w:r>
        <w:t xml:space="preserve">в первой модели меняется частота;</w:t>
      </w:r>
    </w:p>
    <w:p>
      <w:pPr>
        <w:pStyle w:val="Compact"/>
        <w:numPr>
          <w:ilvl w:val="0"/>
          <w:numId w:val="1004"/>
        </w:numPr>
      </w:pPr>
      <w:r>
        <w:t xml:space="preserve">во второй — скорость затухания;</w:t>
      </w:r>
    </w:p>
    <w:p>
      <w:pPr>
        <w:pStyle w:val="Compact"/>
        <w:numPr>
          <w:ilvl w:val="0"/>
          <w:numId w:val="1004"/>
        </w:numPr>
      </w:pPr>
      <w:r>
        <w:t xml:space="preserve">в третьей — характеристики вынужденных колебаний.</w:t>
      </w:r>
    </w:p>
    <w:p>
      <w:pPr>
        <w:pStyle w:val="FirstParagraph"/>
      </w:pPr>
      <w:r>
        <w:t xml:space="preserve">Общие закономерности: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сохраняет периодичность;</w:t>
      </w:r>
    </w:p>
    <w:p>
      <w:pPr>
        <w:pStyle w:val="Compact"/>
        <w:numPr>
          <w:ilvl w:val="0"/>
          <w:numId w:val="1005"/>
        </w:numPr>
      </w:pPr>
      <w:r>
        <w:t xml:space="preserve">вторая — затухает;</w:t>
      </w:r>
    </w:p>
    <w:p>
      <w:pPr>
        <w:pStyle w:val="Compact"/>
        <w:numPr>
          <w:ilvl w:val="0"/>
          <w:numId w:val="1005"/>
        </w:numPr>
      </w:pPr>
      <w:r>
        <w:t xml:space="preserve">третья — стабилизируется на вынужденных колебаниях.</w:t>
      </w:r>
    </w:p>
    <w:bookmarkEnd w:id="75"/>
    <w:bookmarkStart w:id="79" w:name="траектории-yt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7" name="Picture"/>
            <a:graphic>
              <a:graphicData uri="http://schemas.openxmlformats.org/drawingml/2006/picture">
                <pic:pic>
                  <pic:nvPicPr>
                    <pic:cNvPr descr="image/parametric_scan_y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подтверждает предыдущие выводы:</w:t>
      </w:r>
    </w:p>
    <w:p>
      <w:pPr>
        <w:pStyle w:val="Compact"/>
        <w:numPr>
          <w:ilvl w:val="0"/>
          <w:numId w:val="1006"/>
        </w:numPr>
      </w:pPr>
      <w:r>
        <w:t xml:space="preserve">устойчивые колебания (модель 1);</w:t>
      </w:r>
    </w:p>
    <w:p>
      <w:pPr>
        <w:pStyle w:val="Compact"/>
        <w:numPr>
          <w:ilvl w:val="0"/>
          <w:numId w:val="1006"/>
        </w:numPr>
      </w:pPr>
      <w:r>
        <w:t xml:space="preserve">быстрое затухание (модель 2);</w:t>
      </w:r>
    </w:p>
    <w:p>
      <w:pPr>
        <w:pStyle w:val="Compact"/>
        <w:numPr>
          <w:ilvl w:val="0"/>
          <w:numId w:val="1006"/>
        </w:numPr>
      </w:pPr>
      <w:r>
        <w:t xml:space="preserve">установившиеся колебания (модель 3).</w:t>
      </w:r>
    </w:p>
    <w:bookmarkEnd w:id="79"/>
    <w:bookmarkEnd w:id="80"/>
    <w:bookmarkStart w:id="84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2" name="Picture"/>
            <a:graphic>
              <a:graphicData uri="http://schemas.openxmlformats.org/drawingml/2006/picture">
                <pic:pic>
                  <pic:nvPicPr>
                    <pic:cNvPr descr="image/computation_time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показывают:</w:t>
      </w:r>
    </w:p>
    <w:p>
      <w:pPr>
        <w:pStyle w:val="Compact"/>
        <w:numPr>
          <w:ilvl w:val="0"/>
          <w:numId w:val="1007"/>
        </w:numPr>
      </w:pPr>
      <w:r>
        <w:t xml:space="preserve">минимальные затраты у первой модели;</w:t>
      </w:r>
    </w:p>
    <w:p>
      <w:pPr>
        <w:pStyle w:val="Compact"/>
        <w:numPr>
          <w:ilvl w:val="0"/>
          <w:numId w:val="1007"/>
        </w:numPr>
      </w:pPr>
      <w:r>
        <w:t xml:space="preserve">умеренные — у второй;</w:t>
      </w:r>
    </w:p>
    <w:p>
      <w:pPr>
        <w:pStyle w:val="Compact"/>
        <w:numPr>
          <w:ilvl w:val="0"/>
          <w:numId w:val="1007"/>
        </w:numPr>
      </w:pPr>
      <w:r>
        <w:t xml:space="preserve">максимальные — у третьей.</w:t>
      </w:r>
    </w:p>
    <w:p>
      <w:pPr>
        <w:pStyle w:val="FirstParagraph"/>
      </w:pPr>
      <w:r>
        <w:t xml:space="preserve">Несмотря на различия, вычисления выполняются быстро.</w:t>
      </w:r>
    </w:p>
    <w:bookmarkEnd w:id="84"/>
    <w:bookmarkStart w:id="85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FirstParagraph"/>
      </w:pPr>
      <w:r>
        <w:t xml:space="preserve">Рассматриваемая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Выводы:</w:t>
      </w:r>
    </w:p>
    <w:p>
      <w:pPr>
        <w:pStyle w:val="Compact"/>
        <w:numPr>
          <w:ilvl w:val="0"/>
          <w:numId w:val="1008"/>
        </w:numPr>
      </w:pPr>
      <w:r>
        <w:t xml:space="preserve">в первой модели значение остаётся значительным;</w:t>
      </w:r>
    </w:p>
    <w:p>
      <w:pPr>
        <w:pStyle w:val="Compact"/>
        <w:numPr>
          <w:ilvl w:val="0"/>
          <w:numId w:val="1008"/>
        </w:numPr>
      </w:pPr>
      <w:r>
        <w:t xml:space="preserve">во второй — стремится к нулю;</w:t>
      </w:r>
    </w:p>
    <w:p>
      <w:pPr>
        <w:pStyle w:val="Compact"/>
        <w:numPr>
          <w:ilvl w:val="0"/>
          <w:numId w:val="1008"/>
        </w:numPr>
      </w:pPr>
      <w:r>
        <w:t xml:space="preserve">в третьей — стабилизируется на малом уровне.</w:t>
      </w:r>
    </w:p>
    <w:bookmarkEnd w:id="85"/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9"/>
        </w:numPr>
      </w:pPr>
      <w:r>
        <w:t xml:space="preserve">Незатухающая система демонстрирует периодические колебания.</w:t>
      </w:r>
    </w:p>
    <w:p>
      <w:pPr>
        <w:pStyle w:val="Compact"/>
        <w:numPr>
          <w:ilvl w:val="0"/>
          <w:numId w:val="1009"/>
        </w:numPr>
      </w:pPr>
      <w:r>
        <w:t xml:space="preserve">Демпфирование приводит к быстрому затуханию.</w:t>
      </w:r>
    </w:p>
    <w:p>
      <w:pPr>
        <w:pStyle w:val="Compact"/>
        <w:numPr>
          <w:ilvl w:val="0"/>
          <w:numId w:val="1009"/>
        </w:numPr>
      </w:pPr>
      <w:r>
        <w:t xml:space="preserve">Внешняя сила формирует устойчивые вынужденные колебания.</w:t>
      </w:r>
    </w:p>
    <w:p>
      <w:pPr>
        <w:pStyle w:val="Compact"/>
        <w:numPr>
          <w:ilvl w:val="0"/>
          <w:numId w:val="1009"/>
        </w:numPr>
      </w:pPr>
      <w:r>
        <w:t xml:space="preserve">Параметры существенно влияют на динамику системы.</w:t>
      </w:r>
    </w:p>
    <w:p>
      <w:pPr>
        <w:pStyle w:val="Compact"/>
        <w:numPr>
          <w:ilvl w:val="0"/>
          <w:numId w:val="1009"/>
        </w:numPr>
      </w:pPr>
      <w:r>
        <w:t xml:space="preserve">Численное моделирование эффективно для всех случаев.</w:t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характер поведения системы.</w:t>
      </w:r>
    </w:p>
    <w:bookmarkEnd w:id="87"/>
    <w:bookmarkStart w:id="9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88">
        <w:r>
          <w:rPr>
            <w:rStyle w:val="Hyperlink"/>
          </w:rPr>
          <w:t xml:space="preserve">Гармонический осциллятор</w:t>
        </w:r>
      </w:hyperlink>
    </w:p>
    <w:p>
      <w:pPr>
        <w:pStyle w:val="Compact"/>
        <w:numPr>
          <w:ilvl w:val="0"/>
          <w:numId w:val="1010"/>
        </w:numPr>
      </w:pPr>
      <w:hyperlink r:id="rId89">
        <w:r>
          <w:rPr>
            <w:rStyle w:val="Hyperlink"/>
          </w:rPr>
          <w:t xml:space="preserve">Модели колебательных систем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Владимир Базлов</dc:creator>
  <dc:language>ru-RU</dc:language>
  <cp:keywords/>
  <dcterms:created xsi:type="dcterms:W3CDTF">2026-03-28T16:50:29Z</dcterms:created>
  <dcterms:modified xsi:type="dcterms:W3CDTF">2026-03-28T16:50:29Z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