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sz w:val="48"/>
          <w:szCs w:val="48"/>
        </w:rPr>
        <w:t xml:space="preserve">Veille informationnelle</w:t>
      </w:r>
    </w:p>
    <w:p>
      <w:pPr>
        <w:spacing w:after="120"/>
        <w:jc w:val="center"/>
      </w:pPr>
      <w:r>
        <w:rPr>
          <w:rFonts w:ascii="Calibri" w:cs="Calibri" w:eastAsia="Calibri" w:hAnsi="Calibri"/>
          <w:color w:val="666666"/>
          <w:sz w:val="28"/>
          <w:szCs w:val="28"/>
        </w:rPr>
        <w:t xml:space="preserve">Cloud Computing : tendances, évolutions et enjeux en 2025-2026</w:t>
      </w:r>
    </w:p>
    <w:p>
      <w:pPr>
        <w:spacing w:after="400"/>
      </w:pPr>
    </w:p>
    <w:p>
      <w:pPr>
        <w:spacing w:after="60"/>
        <w:jc w:val="center"/>
      </w:pPr>
      <w:r>
        <w:rPr>
          <w:rFonts w:ascii="Calibri" w:cs="Calibri" w:eastAsia="Calibri" w:hAnsi="Calibri"/>
          <w:b/>
          <w:bCs/>
          <w:sz w:val="28"/>
          <w:szCs w:val="28"/>
        </w:rPr>
        <w:t xml:space="preserve">Valentin ACBARD</w:t>
      </w:r>
    </w:p>
    <w:p>
      <w:pPr>
        <w:spacing w:after="60"/>
        <w:jc w:val="center"/>
      </w:pPr>
      <w:r>
        <w:rPr>
          <w:rFonts w:ascii="Calibri" w:cs="Calibri" w:eastAsia="Calibri" w:hAnsi="Calibri"/>
          <w:sz w:val="24"/>
          <w:szCs w:val="24"/>
        </w:rPr>
        <w:t xml:space="preserve">BTS Services Informatiques aux Organisations — Option SISR</w:t>
      </w:r>
    </w:p>
    <w:p>
      <w:pPr>
        <w:spacing w:after="60"/>
        <w:jc w:val="center"/>
      </w:pPr>
      <w:r>
        <w:rPr>
          <w:rFonts w:ascii="Calibri" w:cs="Calibri" w:eastAsia="Calibri" w:hAnsi="Calibri"/>
          <w:sz w:val="24"/>
          <w:szCs w:val="24"/>
        </w:rPr>
        <w:t xml:space="preserve">CFA ISCIO-EVE</w:t>
      </w:r>
    </w:p>
    <w:p>
      <w:pPr>
        <w:spacing w:after="60"/>
        <w:jc w:val="center"/>
      </w:pPr>
      <w:r>
        <w:rPr>
          <w:rFonts w:ascii="Calibri" w:cs="Calibri" w:eastAsia="Calibri" w:hAnsi="Calibri"/>
          <w:sz w:val="24"/>
          <w:szCs w:val="24"/>
        </w:rPr>
        <w:t xml:space="preserve">Session 2026</w:t>
      </w:r>
    </w:p>
    <w:p>
      <w:pPr>
        <w:spacing w:after="600"/>
      </w:pPr>
    </w:p>
    <w:p>
      <w:pPr>
        <w:jc w:val="center"/>
      </w:pPr>
      <w:r>
        <w:rPr>
          <w:rFonts w:ascii="Calibri" w:cs="Calibri" w:eastAsia="Calibri" w:hAnsi="Calibri"/>
          <w:i/>
          <w:iCs/>
          <w:color w:val="666666"/>
          <w:sz w:val="22"/>
          <w:szCs w:val="22"/>
        </w:rPr>
        <w:t xml:space="preserve">Compétence C6 — Organiser son développement professionnel</w:t>
      </w:r>
    </w:p>
    <w:p>
      <w:r>
        <w:br w:type="page"/>
      </w:r>
    </w:p>
    <w:p>
      <w:pPr>
        <w:pStyle w:val="Heading1"/>
      </w:pPr>
      <w:r>
        <w:rPr>
          <w:rFonts w:ascii="Calibri" w:cs="Calibri" w:eastAsia="Calibri" w:hAnsi="Calibri"/>
        </w:rPr>
        <w:t xml:space="preserve">Sommaire</w:t>
      </w:r>
    </w:p>
    <w:p>
      <w:pPr>
        <w:spacing w:after="120" w:before="0" w:line="276"/>
        <w:jc w:val="both"/>
      </w:pPr>
      <w:r>
        <w:rPr>
          <w:rFonts w:ascii="Calibri" w:cs="Calibri" w:eastAsia="Calibri" w:hAnsi="Calibri"/>
          <w:b w:val="false"/>
          <w:bCs w:val="false"/>
          <w:i w:val="false"/>
          <w:iCs w:val="false"/>
          <w:color w:val="000000"/>
          <w:sz w:val="24"/>
          <w:szCs w:val="24"/>
        </w:rPr>
        <w:t xml:space="preserve">1. Contexte et objectifs de la veille</w:t>
      </w:r>
    </w:p>
    <w:p>
      <w:pPr>
        <w:spacing w:after="120" w:before="0" w:line="276"/>
        <w:jc w:val="both"/>
      </w:pPr>
      <w:r>
        <w:rPr>
          <w:rFonts w:ascii="Calibri" w:cs="Calibri" w:eastAsia="Calibri" w:hAnsi="Calibri"/>
          <w:b w:val="false"/>
          <w:bCs w:val="false"/>
          <w:i w:val="false"/>
          <w:iCs w:val="false"/>
          <w:color w:val="000000"/>
          <w:sz w:val="24"/>
          <w:szCs w:val="24"/>
        </w:rPr>
        <w:t xml:space="preserve">2. Méthodologie et outils de veille</w:t>
      </w:r>
    </w:p>
    <w:p>
      <w:pPr>
        <w:spacing w:after="120" w:before="0" w:line="276"/>
        <w:jc w:val="both"/>
      </w:pPr>
      <w:r>
        <w:rPr>
          <w:rFonts w:ascii="Calibri" w:cs="Calibri" w:eastAsia="Calibri" w:hAnsi="Calibri"/>
          <w:b w:val="false"/>
          <w:bCs w:val="false"/>
          <w:i w:val="false"/>
          <w:iCs w:val="false"/>
          <w:color w:val="000000"/>
          <w:sz w:val="24"/>
          <w:szCs w:val="24"/>
        </w:rPr>
        <w:t xml:space="preserve">3. Articles collectés et synthétisés</w:t>
      </w:r>
    </w:p>
    <w:p>
      <w:pPr>
        <w:spacing w:after="120" w:before="0" w:line="276"/>
        <w:jc w:val="both"/>
      </w:pPr>
      <w:r>
        <w:rPr>
          <w:rFonts w:ascii="Calibri" w:cs="Calibri" w:eastAsia="Calibri" w:hAnsi="Calibri"/>
          <w:b w:val="false"/>
          <w:bCs w:val="false"/>
          <w:i w:val="false"/>
          <w:iCs w:val="false"/>
          <w:color w:val="000000"/>
          <w:sz w:val="24"/>
          <w:szCs w:val="24"/>
        </w:rPr>
        <w:t xml:space="preserve">   3.1  Le cloud hybride et multicloud deviennent la norme</w:t>
      </w:r>
    </w:p>
    <w:p>
      <w:pPr>
        <w:spacing w:after="120" w:before="0" w:line="276"/>
        <w:jc w:val="both"/>
      </w:pPr>
      <w:r>
        <w:rPr>
          <w:rFonts w:ascii="Calibri" w:cs="Calibri" w:eastAsia="Calibri" w:hAnsi="Calibri"/>
          <w:b w:val="false"/>
          <w:bCs w:val="false"/>
          <w:i w:val="false"/>
          <w:iCs w:val="false"/>
          <w:color w:val="000000"/>
          <w:sz w:val="24"/>
          <w:szCs w:val="24"/>
        </w:rPr>
        <w:t xml:space="preserve">   3.2  Le cloud souverain et la certification SecNumCloud</w:t>
      </w:r>
    </w:p>
    <w:p>
      <w:pPr>
        <w:spacing w:after="120" w:before="0" w:line="276"/>
        <w:jc w:val="both"/>
      </w:pPr>
      <w:r>
        <w:rPr>
          <w:rFonts w:ascii="Calibri" w:cs="Calibri" w:eastAsia="Calibri" w:hAnsi="Calibri"/>
          <w:b w:val="false"/>
          <w:bCs w:val="false"/>
          <w:i w:val="false"/>
          <w:iCs w:val="false"/>
          <w:color w:val="000000"/>
          <w:sz w:val="24"/>
          <w:szCs w:val="24"/>
        </w:rPr>
        <w:t xml:space="preserve">   3.3  Les données de santé françaises quittent Microsoft Azure</w:t>
      </w:r>
    </w:p>
    <w:p>
      <w:pPr>
        <w:spacing w:after="120" w:before="0" w:line="276"/>
        <w:jc w:val="both"/>
      </w:pPr>
      <w:r>
        <w:rPr>
          <w:rFonts w:ascii="Calibri" w:cs="Calibri" w:eastAsia="Calibri" w:hAnsi="Calibri"/>
          <w:b w:val="false"/>
          <w:bCs w:val="false"/>
          <w:i w:val="false"/>
          <w:iCs w:val="false"/>
          <w:color w:val="000000"/>
          <w:sz w:val="24"/>
          <w:szCs w:val="24"/>
        </w:rPr>
        <w:t xml:space="preserve">   3.4  L’intelligence artificielle intégrée au cloud</w:t>
      </w:r>
    </w:p>
    <w:p>
      <w:pPr>
        <w:spacing w:after="120" w:before="0" w:line="276"/>
        <w:jc w:val="both"/>
      </w:pPr>
      <w:r>
        <w:rPr>
          <w:rFonts w:ascii="Calibri" w:cs="Calibri" w:eastAsia="Calibri" w:hAnsi="Calibri"/>
          <w:b w:val="false"/>
          <w:bCs w:val="false"/>
          <w:i w:val="false"/>
          <w:iCs w:val="false"/>
          <w:color w:val="000000"/>
          <w:sz w:val="24"/>
          <w:szCs w:val="24"/>
        </w:rPr>
        <w:t xml:space="preserve">   3.5  FinOps : maîtrise des coûts du cloud</w:t>
      </w:r>
    </w:p>
    <w:p>
      <w:pPr>
        <w:spacing w:after="120" w:before="0" w:line="276"/>
        <w:jc w:val="both"/>
      </w:pPr>
      <w:r>
        <w:rPr>
          <w:rFonts w:ascii="Calibri" w:cs="Calibri" w:eastAsia="Calibri" w:hAnsi="Calibri"/>
          <w:b w:val="false"/>
          <w:bCs w:val="false"/>
          <w:i w:val="false"/>
          <w:iCs w:val="false"/>
          <w:color w:val="000000"/>
          <w:sz w:val="24"/>
          <w:szCs w:val="24"/>
        </w:rPr>
        <w:t xml:space="preserve">   3.6  Sécurité cloud : Zero Trust et conformité NIS2</w:t>
      </w:r>
    </w:p>
    <w:p>
      <w:pPr>
        <w:spacing w:after="120" w:before="0" w:line="276"/>
        <w:jc w:val="both"/>
      </w:pPr>
      <w:r>
        <w:rPr>
          <w:rFonts w:ascii="Calibri" w:cs="Calibri" w:eastAsia="Calibri" w:hAnsi="Calibri"/>
          <w:b w:val="false"/>
          <w:bCs w:val="false"/>
          <w:i w:val="false"/>
          <w:iCs w:val="false"/>
          <w:color w:val="000000"/>
          <w:sz w:val="24"/>
          <w:szCs w:val="24"/>
        </w:rPr>
        <w:t xml:space="preserve">4. Synthèse générale et enseignements</w:t>
      </w:r>
    </w:p>
    <w:p>
      <w:r>
        <w:br w:type="page"/>
      </w:r>
    </w:p>
    <w:p>
      <w:pPr>
        <w:pStyle w:val="Heading1"/>
      </w:pPr>
      <w:r>
        <w:rPr>
          <w:rFonts w:ascii="Calibri" w:cs="Calibri" w:eastAsia="Calibri" w:hAnsi="Calibri"/>
        </w:rPr>
        <w:t xml:space="preserve">1. Contexte et objectifs de la veille</w:t>
      </w:r>
    </w:p>
    <w:p>
      <w:pPr>
        <w:spacing w:after="120" w:before="0" w:line="276"/>
        <w:jc w:val="both"/>
      </w:pPr>
      <w:r>
        <w:rPr>
          <w:rFonts w:ascii="Calibri" w:cs="Calibri" w:eastAsia="Calibri" w:hAnsi="Calibri"/>
          <w:b w:val="false"/>
          <w:bCs w:val="false"/>
          <w:i w:val="false"/>
          <w:iCs w:val="false"/>
          <w:color w:val="000000"/>
          <w:sz w:val="24"/>
          <w:szCs w:val="24"/>
        </w:rPr>
        <w:t xml:space="preserve">Dans le cadre de ma formation BTS SIO option SISR, j’ai mis en place une veille informationnelle sur le thème du cloud computing. Le cloud est au cœur des infrastructures IT modernes et concerne directement mon activité en entreprise : déploiement de services, gestion des données, sécurité et disponibilité.</w:t>
      </w:r>
    </w:p>
    <w:p>
      <w:pPr>
        <w:spacing w:after="60"/>
      </w:pPr>
    </w:p>
    <w:p>
      <w:pPr>
        <w:spacing w:after="120" w:before="0" w:line="276"/>
        <w:jc w:val="both"/>
      </w:pPr>
      <w:r>
        <w:rPr>
          <w:rFonts w:ascii="Calibri" w:cs="Calibri" w:eastAsia="Calibri" w:hAnsi="Calibri"/>
          <w:b w:val="false"/>
          <w:bCs w:val="false"/>
          <w:i w:val="false"/>
          <w:iCs w:val="false"/>
          <w:color w:val="000000"/>
          <w:sz w:val="24"/>
          <w:szCs w:val="24"/>
        </w:rPr>
        <w:t xml:space="preserve">Cette veille a pour objectifs de :</w:t>
      </w:r>
    </w:p>
    <w:p>
      <w:pPr>
        <w:pStyle w:val="ListParagraph"/>
        <w:numPr>
          <w:ilvl w:val="0"/>
          <w:numId w:val="2"/>
        </w:numPr>
        <w:spacing w:after="60" w:line="276"/>
      </w:pPr>
      <w:r>
        <w:rPr>
          <w:rFonts w:ascii="Calibri" w:cs="Calibri" w:eastAsia="Calibri" w:hAnsi="Calibri"/>
          <w:color w:val="000000"/>
          <w:sz w:val="24"/>
          <w:szCs w:val="24"/>
        </w:rPr>
        <w:t xml:space="preserve">Suivre les évolutions majeures du cloud computing et leur impact sur les infrastructures d’entreprise</w:t>
      </w:r>
    </w:p>
    <w:p>
      <w:pPr>
        <w:pStyle w:val="ListParagraph"/>
        <w:numPr>
          <w:ilvl w:val="0"/>
          <w:numId w:val="2"/>
        </w:numPr>
        <w:spacing w:after="60" w:line="276"/>
      </w:pPr>
      <w:r>
        <w:rPr>
          <w:rFonts w:ascii="Calibri" w:cs="Calibri" w:eastAsia="Calibri" w:hAnsi="Calibri"/>
          <w:color w:val="000000"/>
          <w:sz w:val="24"/>
          <w:szCs w:val="24"/>
        </w:rPr>
        <w:t xml:space="preserve">Identifier les tendances émergentes pertinentes pour un technicien SISR (cloud hybride, souveraineté, sécurité, coûts)</w:t>
      </w:r>
    </w:p>
    <w:p>
      <w:pPr>
        <w:pStyle w:val="ListParagraph"/>
        <w:numPr>
          <w:ilvl w:val="0"/>
          <w:numId w:val="2"/>
        </w:numPr>
        <w:spacing w:after="60" w:line="276"/>
      </w:pPr>
      <w:r>
        <w:rPr>
          <w:rFonts w:ascii="Calibri" w:cs="Calibri" w:eastAsia="Calibri" w:hAnsi="Calibri"/>
          <w:color w:val="000000"/>
          <w:sz w:val="24"/>
          <w:szCs w:val="24"/>
        </w:rPr>
        <w:t xml:space="preserve">Renforcer mes compétences techniques et ma culture professionnelle</w:t>
      </w:r>
    </w:p>
    <w:p>
      <w:pPr>
        <w:pStyle w:val="ListParagraph"/>
        <w:numPr>
          <w:ilvl w:val="0"/>
          <w:numId w:val="2"/>
        </w:numPr>
        <w:spacing w:after="60" w:line="276"/>
      </w:pPr>
      <w:r>
        <w:rPr>
          <w:rFonts w:ascii="Calibri" w:cs="Calibri" w:eastAsia="Calibri" w:hAnsi="Calibri"/>
          <w:color w:val="000000"/>
          <w:sz w:val="24"/>
          <w:szCs w:val="24"/>
        </w:rPr>
        <w:t xml:space="preserve">Alimenter mes réflexions pour mon projet professionnel</w:t>
      </w:r>
    </w:p>
    <w:p>
      <w:pPr>
        <w:spacing w:after="120"/>
      </w:pPr>
    </w:p>
    <w:p>
      <w:pPr>
        <w:spacing w:after="120" w:before="0" w:line="276"/>
        <w:jc w:val="both"/>
      </w:pPr>
      <w:r>
        <w:rPr>
          <w:rFonts w:ascii="Calibri" w:cs="Calibri" w:eastAsia="Calibri" w:hAnsi="Calibri"/>
          <w:b/>
          <w:bCs/>
          <w:i w:val="false"/>
          <w:iCs w:val="false"/>
          <w:color w:val="000000"/>
          <w:sz w:val="24"/>
          <w:szCs w:val="24"/>
        </w:rPr>
        <w:t xml:space="preserve">Sources utilisées :</w:t>
      </w:r>
    </w:p>
    <w:p>
      <w:pPr>
        <w:pStyle w:val="ListParagraph"/>
        <w:numPr>
          <w:ilvl w:val="0"/>
          <w:numId w:val="3"/>
        </w:numPr>
        <w:spacing w:after="60" w:line="276"/>
      </w:pPr>
      <w:r>
        <w:rPr>
          <w:rFonts w:ascii="Calibri" w:cs="Calibri" w:eastAsia="Calibri" w:hAnsi="Calibri"/>
          <w:color w:val="000000"/>
          <w:sz w:val="24"/>
          <w:szCs w:val="24"/>
        </w:rPr>
        <w:t xml:space="preserve">LeMagIT — site spécialisé en actualité IT et cloud</w:t>
      </w:r>
    </w:p>
    <w:p>
      <w:pPr>
        <w:pStyle w:val="ListParagraph"/>
        <w:numPr>
          <w:ilvl w:val="0"/>
          <w:numId w:val="3"/>
        </w:numPr>
        <w:spacing w:after="60" w:line="276"/>
      </w:pPr>
      <w:r>
        <w:rPr>
          <w:rFonts w:ascii="Calibri" w:cs="Calibri" w:eastAsia="Calibri" w:hAnsi="Calibri"/>
          <w:color w:val="000000"/>
          <w:sz w:val="24"/>
          <w:szCs w:val="24"/>
        </w:rPr>
        <w:t xml:space="preserve">Solutions Numériques &amp; Cybersécurité — magazine professionnel français</w:t>
      </w:r>
    </w:p>
    <w:p>
      <w:pPr>
        <w:pStyle w:val="ListParagraph"/>
        <w:numPr>
          <w:ilvl w:val="0"/>
          <w:numId w:val="3"/>
        </w:numPr>
        <w:spacing w:after="60" w:line="276"/>
      </w:pPr>
      <w:r>
        <w:rPr>
          <w:rFonts w:ascii="Calibri" w:cs="Calibri" w:eastAsia="Calibri" w:hAnsi="Calibri"/>
          <w:color w:val="000000"/>
          <w:sz w:val="24"/>
          <w:szCs w:val="24"/>
        </w:rPr>
        <w:t xml:space="preserve">Keytech.io — blog d’analyse des tendances IT</w:t>
      </w:r>
    </w:p>
    <w:p>
      <w:pPr>
        <w:pStyle w:val="ListParagraph"/>
        <w:numPr>
          <w:ilvl w:val="0"/>
          <w:numId w:val="3"/>
        </w:numPr>
        <w:spacing w:after="60" w:line="276"/>
      </w:pPr>
      <w:r>
        <w:rPr>
          <w:rFonts w:ascii="Calibri" w:cs="Calibri" w:eastAsia="Calibri" w:hAnsi="Calibri"/>
          <w:color w:val="000000"/>
          <w:sz w:val="24"/>
          <w:szCs w:val="24"/>
        </w:rPr>
        <w:t xml:space="preserve">Objet Connecté — média tech français</w:t>
      </w:r>
    </w:p>
    <w:p>
      <w:pPr>
        <w:pStyle w:val="ListParagraph"/>
        <w:numPr>
          <w:ilvl w:val="0"/>
          <w:numId w:val="3"/>
        </w:numPr>
        <w:spacing w:after="60" w:line="276"/>
      </w:pPr>
      <w:r>
        <w:rPr>
          <w:rFonts w:ascii="Calibri" w:cs="Calibri" w:eastAsia="Calibri" w:hAnsi="Calibri"/>
          <w:color w:val="000000"/>
          <w:sz w:val="24"/>
          <w:szCs w:val="24"/>
        </w:rPr>
        <w:t xml:space="preserve">InformationWeek — média IT international</w:t>
      </w:r>
    </w:p>
    <w:p>
      <w:pPr>
        <w:pStyle w:val="ListParagraph"/>
        <w:numPr>
          <w:ilvl w:val="0"/>
          <w:numId w:val="3"/>
        </w:numPr>
        <w:spacing w:after="60" w:line="276"/>
      </w:pPr>
      <w:r>
        <w:rPr>
          <w:rFonts w:ascii="Calibri" w:cs="Calibri" w:eastAsia="Calibri" w:hAnsi="Calibri"/>
          <w:color w:val="000000"/>
          <w:sz w:val="24"/>
          <w:szCs w:val="24"/>
        </w:rPr>
        <w:t xml:space="preserve">L’Usine Digitale — média économique et technologique</w:t>
      </w:r>
    </w:p>
    <w:p>
      <w:pPr>
        <w:pStyle w:val="ListParagraph"/>
        <w:numPr>
          <w:ilvl w:val="0"/>
          <w:numId w:val="3"/>
        </w:numPr>
        <w:spacing w:after="60" w:line="276"/>
      </w:pPr>
      <w:r>
        <w:rPr>
          <w:rFonts w:ascii="Calibri" w:cs="Calibri" w:eastAsia="Calibri" w:hAnsi="Calibri"/>
          <w:color w:val="000000"/>
          <w:sz w:val="24"/>
          <w:szCs w:val="24"/>
        </w:rPr>
        <w:t xml:space="preserve">CIO Online — portail des DSI</w:t>
      </w:r>
    </w:p>
    <w:p>
      <w:r>
        <w:br w:type="page"/>
      </w:r>
    </w:p>
    <w:p>
      <w:pPr>
        <w:pStyle w:val="Heading1"/>
      </w:pPr>
      <w:r>
        <w:rPr>
          <w:rFonts w:ascii="Calibri" w:cs="Calibri" w:eastAsia="Calibri" w:hAnsi="Calibri"/>
        </w:rPr>
        <w:t xml:space="preserve">2. Méthodologie et outils de veille</w:t>
      </w:r>
    </w:p>
    <w:p>
      <w:pPr>
        <w:pStyle w:val="Heading2"/>
      </w:pPr>
      <w:r>
        <w:rPr>
          <w:rFonts w:ascii="Calibri" w:cs="Calibri" w:eastAsia="Calibri" w:hAnsi="Calibri"/>
        </w:rPr>
        <w:t xml:space="preserve">2.1 Démarche de mise en place</w:t>
      </w:r>
    </w:p>
    <w:p>
      <w:pPr>
        <w:spacing w:after="120" w:before="0" w:line="276"/>
        <w:jc w:val="both"/>
      </w:pPr>
      <w:r>
        <w:rPr>
          <w:rFonts w:ascii="Calibri" w:cs="Calibri" w:eastAsia="Calibri" w:hAnsi="Calibri"/>
          <w:b w:val="false"/>
          <w:bCs w:val="false"/>
          <w:i w:val="false"/>
          <w:iCs w:val="false"/>
          <w:color w:val="000000"/>
          <w:sz w:val="24"/>
          <w:szCs w:val="24"/>
        </w:rPr>
        <w:t xml:space="preserve">Dès le début de ma formation en septembre 2024, j’ai défini ma stratégie de veille en suivant plusieurs étapes :</w:t>
      </w:r>
    </w:p>
    <w:p>
      <w:pPr>
        <w:spacing w:after="40"/>
      </w:pPr>
    </w:p>
    <w:p>
      <w:pPr>
        <w:pStyle w:val="ListParagraph"/>
        <w:numPr>
          <w:ilvl w:val="0"/>
          <w:numId w:val="4"/>
        </w:numPr>
        <w:spacing w:after="60" w:line="276"/>
      </w:pPr>
      <w:r>
        <w:rPr>
          <w:rFonts w:ascii="Calibri" w:cs="Calibri" w:eastAsia="Calibri" w:hAnsi="Calibri"/>
          <w:b/>
          <w:bCs/>
          <w:sz w:val="24"/>
          <w:szCs w:val="24"/>
        </w:rPr>
        <w:t xml:space="preserve">Choix de la thématique : </w:t>
      </w:r>
      <w:r>
        <w:rPr>
          <w:rFonts w:ascii="Calibri" w:cs="Calibri" w:eastAsia="Calibri" w:hAnsi="Calibri"/>
          <w:sz w:val="24"/>
          <w:szCs w:val="24"/>
        </w:rPr>
        <w:t xml:space="preserve">j’ai identifié le cloud computing comme sujet principal, car il est directement lié à mon option SISR et aux infrastructures que je gère en entreprise.</w:t>
      </w:r>
    </w:p>
    <w:p>
      <w:pPr>
        <w:pStyle w:val="ListParagraph"/>
        <w:numPr>
          <w:ilvl w:val="0"/>
          <w:numId w:val="4"/>
        </w:numPr>
        <w:spacing w:after="60" w:line="276"/>
      </w:pPr>
      <w:r>
        <w:rPr>
          <w:rFonts w:ascii="Calibri" w:cs="Calibri" w:eastAsia="Calibri" w:hAnsi="Calibri"/>
          <w:b/>
          <w:bCs/>
          <w:sz w:val="24"/>
          <w:szCs w:val="24"/>
        </w:rPr>
        <w:t xml:space="preserve">Identification des sources fiables : </w:t>
      </w:r>
      <w:r>
        <w:rPr>
          <w:rFonts w:ascii="Calibri" w:cs="Calibri" w:eastAsia="Calibri" w:hAnsi="Calibri"/>
          <w:sz w:val="24"/>
          <w:szCs w:val="24"/>
        </w:rPr>
        <w:t xml:space="preserve">j’ai sélectionné des médias spécialisés reconnus (LeMagIT, L’Usine Digitale, Solutions Numériques) ainsi que des sources internationales (InformationWeek) pour avoir une vision complète.</w:t>
      </w:r>
    </w:p>
    <w:p>
      <w:pPr>
        <w:pStyle w:val="ListParagraph"/>
        <w:numPr>
          <w:ilvl w:val="0"/>
          <w:numId w:val="4"/>
        </w:numPr>
        <w:spacing w:after="60" w:line="276"/>
      </w:pPr>
      <w:r>
        <w:rPr>
          <w:rFonts w:ascii="Calibri" w:cs="Calibri" w:eastAsia="Calibri" w:hAnsi="Calibri"/>
          <w:b/>
          <w:bCs/>
          <w:sz w:val="24"/>
          <w:szCs w:val="24"/>
        </w:rPr>
        <w:t xml:space="preserve">Mise en place des outils de collecte : </w:t>
      </w:r>
      <w:r>
        <w:rPr>
          <w:rFonts w:ascii="Calibri" w:cs="Calibri" w:eastAsia="Calibri" w:hAnsi="Calibri"/>
          <w:sz w:val="24"/>
          <w:szCs w:val="24"/>
        </w:rPr>
        <w:t xml:space="preserve">j’ai configuré des agrégateurs de flux RSS et des alertes automatiques pour recevoir les articles pertinents sans consulter chaque site manuellement.</w:t>
      </w:r>
    </w:p>
    <w:p>
      <w:pPr>
        <w:pStyle w:val="ListParagraph"/>
        <w:numPr>
          <w:ilvl w:val="0"/>
          <w:numId w:val="4"/>
        </w:numPr>
        <w:spacing w:after="60" w:line="276"/>
      </w:pPr>
      <w:r>
        <w:rPr>
          <w:rFonts w:ascii="Calibri" w:cs="Calibri" w:eastAsia="Calibri" w:hAnsi="Calibri"/>
          <w:b/>
          <w:bCs/>
          <w:sz w:val="24"/>
          <w:szCs w:val="24"/>
        </w:rPr>
        <w:t xml:space="preserve">Organisation du classement : </w:t>
      </w:r>
      <w:r>
        <w:rPr>
          <w:rFonts w:ascii="Calibri" w:cs="Calibri" w:eastAsia="Calibri" w:hAnsi="Calibri"/>
          <w:sz w:val="24"/>
          <w:szCs w:val="24"/>
        </w:rPr>
        <w:t xml:space="preserve">j’ai créé des catégories thématiques (cloud hybride, souveraineté, sécurité, IA, coûts) pour classer et retrouver facilement les articles collectés.</w:t>
      </w:r>
    </w:p>
    <w:p>
      <w:pPr>
        <w:spacing w:after="200"/>
      </w:pPr>
    </w:p>
    <w:p>
      <w:pPr>
        <w:pStyle w:val="Heading2"/>
      </w:pPr>
      <w:r>
        <w:rPr>
          <w:rFonts w:ascii="Calibri" w:cs="Calibri" w:eastAsia="Calibri" w:hAnsi="Calibri"/>
        </w:rPr>
        <w:t xml:space="preserve">2.2 Outils utilisés</w:t>
      </w:r>
    </w:p>
    <w:p>
      <w:pPr>
        <w:spacing w:after="120" w:before="0" w:line="276"/>
        <w:jc w:val="both"/>
      </w:pPr>
      <w:r>
        <w:rPr>
          <w:rFonts w:ascii="Calibri" w:cs="Calibri" w:eastAsia="Calibri" w:hAnsi="Calibri"/>
          <w:b w:val="false"/>
          <w:bCs w:val="false"/>
          <w:i w:val="false"/>
          <w:iCs w:val="false"/>
          <w:color w:val="000000"/>
          <w:sz w:val="24"/>
          <w:szCs w:val="24"/>
        </w:rPr>
        <w:t xml:space="preserve">Voici les principaux outils que j’ai utilisés pour réaliser cette veille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r>
              <w:rPr>
                <w:rFonts w:ascii="Calibri" w:cs="Calibri" w:eastAsia="Calibri" w:hAnsi="Calibri"/>
                <w:b/>
                <w:bCs/>
                <w:sz w:val="22"/>
                <w:szCs w:val="22"/>
              </w:rPr>
              <w:t xml:space="preserve">Outil</w:t>
            </w:r>
          </w:p>
        </w:tc>
        <w:tc>
          <w:tcPr>
            <w:tcW w:type="dxa" w:w="2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r>
              <w:rPr>
                <w:rFonts w:ascii="Calibri" w:cs="Calibri" w:eastAsia="Calibri" w:hAnsi="Calibri"/>
                <w:b/>
                <w:bCs/>
                <w:sz w:val="22"/>
                <w:szCs w:val="22"/>
              </w:rPr>
              <w:t xml:space="preserve">Type</w:t>
            </w:r>
          </w:p>
        </w:tc>
        <w:tc>
          <w:tcPr>
            <w:tcW w:type="dxa" w:w="4426"/>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r>
              <w:rPr>
                <w:rFonts w:ascii="Calibri" w:cs="Calibri" w:eastAsia="Calibri" w:hAnsi="Calibri"/>
                <w:b/>
                <w:bCs/>
                <w:sz w:val="22"/>
                <w:szCs w:val="22"/>
              </w:rPr>
              <w:t xml:space="preserve">Utilisation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Feedly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i/>
                <w:iCs/>
                <w:sz w:val="22"/>
                <w:szCs w:val="22"/>
              </w:rPr>
              <w:t xml:space="preserve">Agrégateur RSS</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Centralisation de tous mes flux RSS. Consultation quotidienne des nouveaux articles.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Google Alerts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i/>
                <w:iCs/>
                <w:sz w:val="22"/>
                <w:szCs w:val="22"/>
              </w:rPr>
              <w:t xml:space="preserve">Alertes email</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Alertes sur les mots-clés « cloud computing », « cloud souverain », « SecNumCloud », « multicloud ». Réception hebdomadaire.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LinkedIn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i/>
                <w:iCs/>
                <w:sz w:val="22"/>
                <w:szCs w:val="22"/>
              </w:rPr>
              <w:t xml:space="preserve">Réseau social pro</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Suivi de pages spécialisées et de professionnels du cloud. Veille via le fil d’actualité.</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Pocket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i/>
                <w:iCs/>
                <w:sz w:val="22"/>
                <w:szCs w:val="22"/>
              </w:rPr>
              <w:t xml:space="preserve">Sauvegarde d’articles</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Sauvegarde des articles pour lecture ultérieure. Classement par tags thématiques.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Notion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i/>
                <w:iCs/>
                <w:sz w:val="22"/>
                <w:szCs w:val="22"/>
              </w:rPr>
              <w:t xml:space="preserve">Prise de notes</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2"/>
                <w:szCs w:val="22"/>
              </w:rPr>
              <w:t xml:space="preserve">Tableau de suivi : date, source, titre, thématique, synthèse, pertinence.</w:t>
            </w:r>
          </w:p>
        </w:tc>
      </w:tr>
    </w:tbl>
    <w:p>
      <w:pPr>
        <w:spacing w:after="200"/>
      </w:pPr>
    </w:p>
    <w:p>
      <w:pPr>
        <w:pStyle w:val="Heading2"/>
      </w:pPr>
      <w:r>
        <w:rPr>
          <w:rFonts w:ascii="Calibri" w:cs="Calibri" w:eastAsia="Calibri" w:hAnsi="Calibri"/>
        </w:rPr>
        <w:t xml:space="preserve">2.3 Organisation et fréquence</w:t>
      </w:r>
    </w:p>
    <w:p>
      <w:pPr>
        <w:spacing w:after="120" w:before="0" w:line="276"/>
        <w:jc w:val="both"/>
      </w:pPr>
      <w:r>
        <w:rPr>
          <w:rFonts w:ascii="Calibri" w:cs="Calibri" w:eastAsia="Calibri" w:hAnsi="Calibri"/>
          <w:b w:val="false"/>
          <w:bCs w:val="false"/>
          <w:i w:val="false"/>
          <w:iCs w:val="false"/>
          <w:color w:val="000000"/>
          <w:sz w:val="24"/>
          <w:szCs w:val="24"/>
        </w:rPr>
        <w:t xml:space="preserve">Ma veille est organisée selon un rythme régulier :</w:t>
      </w:r>
    </w:p>
    <w:p>
      <w:pPr>
        <w:spacing w:after="40"/>
      </w:pPr>
    </w:p>
    <w:p>
      <w:pPr>
        <w:pStyle w:val="ListParagraph"/>
        <w:numPr>
          <w:ilvl w:val="0"/>
          <w:numId w:val="5"/>
        </w:numPr>
        <w:spacing w:after="60" w:line="276"/>
      </w:pPr>
      <w:r>
        <w:rPr>
          <w:rFonts w:ascii="Calibri" w:cs="Calibri" w:eastAsia="Calibri" w:hAnsi="Calibri"/>
          <w:b/>
          <w:bCs/>
          <w:i w:val="false"/>
          <w:iCs w:val="false"/>
          <w:color w:val="000000"/>
          <w:sz w:val="24"/>
          <w:szCs w:val="24"/>
        </w:rPr>
        <w:t xml:space="preserve">Quotidien : </w:t>
      </w:r>
      <w:r>
        <w:rPr>
          <w:rFonts w:ascii="Calibri" w:cs="Calibri" w:eastAsia="Calibri" w:hAnsi="Calibri"/>
          <w:b w:val="false"/>
          <w:bCs w:val="false"/>
          <w:i w:val="false"/>
          <w:iCs w:val="false"/>
          <w:color w:val="000000"/>
          <w:sz w:val="24"/>
          <w:szCs w:val="24"/>
        </w:rPr>
        <w:t xml:space="preserve">consultation rapide de Feedly (5 à 10 min) pour repérer les articles récents. Lecture du fil LinkedIn.</w:t>
      </w:r>
    </w:p>
    <w:p>
      <w:pPr>
        <w:pStyle w:val="ListParagraph"/>
        <w:numPr>
          <w:ilvl w:val="0"/>
          <w:numId w:val="5"/>
        </w:numPr>
        <w:spacing w:after="60" w:line="276"/>
      </w:pPr>
      <w:r>
        <w:rPr>
          <w:rFonts w:ascii="Calibri" w:cs="Calibri" w:eastAsia="Calibri" w:hAnsi="Calibri"/>
          <w:b/>
          <w:bCs/>
          <w:i w:val="false"/>
          <w:iCs w:val="false"/>
          <w:color w:val="000000"/>
          <w:sz w:val="24"/>
          <w:szCs w:val="24"/>
        </w:rPr>
        <w:t xml:space="preserve">Hebdomadaire : </w:t>
      </w:r>
      <w:r>
        <w:rPr>
          <w:rFonts w:ascii="Calibri" w:cs="Calibri" w:eastAsia="Calibri" w:hAnsi="Calibri"/>
          <w:b w:val="false"/>
          <w:bCs w:val="false"/>
          <w:i w:val="false"/>
          <w:iCs w:val="false"/>
          <w:color w:val="000000"/>
          <w:sz w:val="24"/>
          <w:szCs w:val="24"/>
        </w:rPr>
        <w:t xml:space="preserve">lecture approfondie des articles sauvegardés dans Pocket. Traitement des alertes Google Alerts. Mise à jour du tableau Notion.</w:t>
      </w:r>
    </w:p>
    <w:p>
      <w:pPr>
        <w:pStyle w:val="ListParagraph"/>
        <w:numPr>
          <w:ilvl w:val="0"/>
          <w:numId w:val="5"/>
        </w:numPr>
        <w:spacing w:after="60" w:line="276"/>
      </w:pPr>
      <w:r>
        <w:rPr>
          <w:rFonts w:ascii="Calibri" w:cs="Calibri" w:eastAsia="Calibri" w:hAnsi="Calibri"/>
          <w:b/>
          <w:bCs/>
          <w:i w:val="false"/>
          <w:iCs w:val="false"/>
          <w:color w:val="000000"/>
          <w:sz w:val="24"/>
          <w:szCs w:val="24"/>
        </w:rPr>
        <w:t xml:space="preserve">Mensuel : </w:t>
      </w:r>
      <w:r>
        <w:rPr>
          <w:rFonts w:ascii="Calibri" w:cs="Calibri" w:eastAsia="Calibri" w:hAnsi="Calibri"/>
          <w:b w:val="false"/>
          <w:bCs w:val="false"/>
          <w:i w:val="false"/>
          <w:iCs w:val="false"/>
          <w:color w:val="000000"/>
          <w:sz w:val="24"/>
          <w:szCs w:val="24"/>
        </w:rPr>
        <w:t xml:space="preserve">rédaction d’une synthèse des tendances clés du mois. Vérification et ajustement des sources (ajout ou suppression de flux RSS).</w:t>
      </w:r>
    </w:p>
    <w:p>
      <w:pPr>
        <w:spacing w:after="200"/>
      </w:pPr>
    </w:p>
    <w:p>
      <w:pPr>
        <w:pStyle w:val="Heading2"/>
      </w:pPr>
      <w:r>
        <w:rPr>
          <w:rFonts w:ascii="Calibri" w:cs="Calibri" w:eastAsia="Calibri" w:hAnsi="Calibri"/>
        </w:rPr>
        <w:t xml:space="preserve">2.4 Processus de collecte et de traitement</w:t>
      </w:r>
    </w:p>
    <w:p>
      <w:pPr>
        <w:spacing w:after="120" w:before="0" w:line="276"/>
        <w:jc w:val="both"/>
      </w:pPr>
      <w:r>
        <w:rPr>
          <w:rFonts w:ascii="Calibri" w:cs="Calibri" w:eastAsia="Calibri" w:hAnsi="Calibri"/>
          <w:b w:val="false"/>
          <w:bCs w:val="false"/>
          <w:i w:val="false"/>
          <w:iCs w:val="false"/>
          <w:color w:val="000000"/>
          <w:sz w:val="24"/>
          <w:szCs w:val="24"/>
        </w:rPr>
        <w:t xml:space="preserve">Chaque article passe par un processus en 4 étapes avant d’être intégré à ma veille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999999" w:sz="1"/>
              <w:left w:val="single" w:color="999999" w:sz="1"/>
              <w:bottom w:val="single" w:color="999999" w:sz="1"/>
              <w:right w:val="single" w:color="999999" w:sz="1"/>
            </w:tcBorders>
            <w:shd w:fill="D9D9D9" w:val="clear"/>
            <w:tcMar>
              <w:top w:type="dxa" w:w="60"/>
              <w:left w:type="dxa" w:w="80"/>
              <w:bottom w:type="dxa" w:w="60"/>
              <w:right w:type="dxa" w:w="80"/>
            </w:tcMar>
          </w:tcPr>
          <w:p>
            <w:pPr>
              <w:jc w:val="center"/>
            </w:pPr>
            <w:r>
              <w:rPr>
                <w:rFonts w:ascii="Calibri" w:cs="Calibri" w:eastAsia="Calibri" w:hAnsi="Calibri"/>
                <w:b/>
                <w:bCs/>
                <w:sz w:val="22"/>
                <w:szCs w:val="22"/>
              </w:rPr>
              <w:t xml:space="preserve">N°</w:t>
            </w:r>
          </w:p>
        </w:tc>
        <w:tc>
          <w:tcPr>
            <w:tcW w:type="dxa" w:w="2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r>
              <w:rPr>
                <w:rFonts w:ascii="Calibri" w:cs="Calibri" w:eastAsia="Calibri" w:hAnsi="Calibri"/>
                <w:b/>
                <w:bCs/>
                <w:sz w:val="22"/>
                <w:szCs w:val="22"/>
              </w:rPr>
              <w:t xml:space="preserve">Étape</w:t>
            </w:r>
          </w:p>
        </w:tc>
        <w:tc>
          <w:tcPr>
            <w:tcW w:type="dxa" w:w="6426"/>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r>
              <w:rPr>
                <w:rFonts w:ascii="Calibri" w:cs="Calibri" w:eastAsia="Calibri" w:hAnsi="Calibri"/>
                <w:b/>
                <w:bCs/>
                <w:sz w:val="22"/>
                <w:szCs w:val="22"/>
              </w:rPr>
              <w:t xml:space="preserve">Description</w:t>
            </w:r>
          </w:p>
        </w:tc>
      </w:tr>
      <w:tr>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Calibri" w:cs="Calibri" w:eastAsia="Calibri" w:hAnsi="Calibri"/>
                <w:b/>
                <w:bCs/>
                <w:sz w:val="22"/>
                <w:szCs w:val="22"/>
              </w:rPr>
              <w:t xml:space="preserve">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bCs/>
                <w:sz w:val="22"/>
                <w:szCs w:val="22"/>
              </w:rPr>
              <w:t xml:space="preserve">Repérage</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Calibri" w:cs="Calibri" w:eastAsia="Calibri" w:hAnsi="Calibri"/>
                <w:sz w:val="22"/>
                <w:szCs w:val="22"/>
              </w:rPr>
              <w:t xml:space="preserve">L’article apparaît dans Feedly, Google Alerts ou LinkedIn. Je lis le titre et le chapeau pour évaluer sa pertinence.</w:t>
            </w:r>
          </w:p>
        </w:tc>
      </w:tr>
      <w:tr>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Calibri" w:cs="Calibri" w:eastAsia="Calibri" w:hAnsi="Calibri"/>
                <w:b/>
                <w:bCs/>
                <w:sz w:val="22"/>
                <w:szCs w:val="22"/>
              </w:rPr>
              <w:t xml:space="preserve">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bCs/>
                <w:sz w:val="22"/>
                <w:szCs w:val="22"/>
              </w:rPr>
              <w:t xml:space="preserve">Sauvegarde</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Calibri" w:cs="Calibri" w:eastAsia="Calibri" w:hAnsi="Calibri"/>
                <w:sz w:val="22"/>
                <w:szCs w:val="22"/>
              </w:rPr>
              <w:t xml:space="preserve">Si l’article est pertinent, je le sauvegarde dans Pocket avec un tag (ex : #cloud-souverain, #finops, #ia-cloud).</w:t>
            </w:r>
          </w:p>
        </w:tc>
      </w:tr>
      <w:tr>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Calibri" w:cs="Calibri" w:eastAsia="Calibri" w:hAnsi="Calibri"/>
                <w:b/>
                <w:bCs/>
                <w:sz w:val="22"/>
                <w:szCs w:val="22"/>
              </w:rPr>
              <w:t xml:space="preserve">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bCs/>
                <w:sz w:val="22"/>
                <w:szCs w:val="22"/>
              </w:rPr>
              <w:t xml:space="preserve">Lecture et analyse</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Calibri" w:cs="Calibri" w:eastAsia="Calibri" w:hAnsi="Calibri"/>
                <w:sz w:val="22"/>
                <w:szCs w:val="22"/>
              </w:rPr>
              <w:t xml:space="preserve">Je lis l’article en entier. J’identifie les faits, chiffres, technologies citées et l’impact pour un professionnel SISR.</w:t>
            </w:r>
          </w:p>
        </w:tc>
      </w:tr>
      <w:tr>
        <w:tc>
          <w:tcPr>
            <w:tcW w:type="dxa" w:w="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Calibri" w:cs="Calibri" w:eastAsia="Calibri" w:hAnsi="Calibri"/>
                <w:b/>
                <w:bCs/>
                <w:sz w:val="22"/>
                <w:szCs w:val="22"/>
              </w:rPr>
              <w:t xml:space="preserve">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b/>
                <w:bCs/>
                <w:sz w:val="22"/>
                <w:szCs w:val="22"/>
              </w:rPr>
              <w:t xml:space="preserve">Synthèse</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Calibri" w:cs="Calibri" w:eastAsia="Calibri" w:hAnsi="Calibri"/>
                <w:sz w:val="22"/>
                <w:szCs w:val="22"/>
              </w:rPr>
              <w:t xml:space="preserve">Je rédige une fiche dans Notion : titre, source, date, synthèse, impact. C’est cette fiche qui alimente le présent document.</w:t>
            </w:r>
          </w:p>
        </w:tc>
      </w:tr>
    </w:tbl>
    <w:p>
      <w:r>
        <w:br w:type="page"/>
      </w:r>
    </w:p>
    <w:p>
      <w:pPr>
        <w:pStyle w:val="Heading1"/>
      </w:pPr>
      <w:r>
        <w:rPr>
          <w:rFonts w:ascii="Calibri" w:cs="Calibri" w:eastAsia="Calibri" w:hAnsi="Calibri"/>
        </w:rPr>
        <w:t xml:space="preserve">3. Articles collectés et synthétisés</w:t>
      </w:r>
    </w:p>
    <w:p>
      <w:pPr>
        <w:pStyle w:val="Heading2"/>
      </w:pPr>
      <w:r>
        <w:rPr>
          <w:rFonts w:ascii="Calibri" w:cs="Calibri" w:eastAsia="Calibri" w:hAnsi="Calibri"/>
        </w:rPr>
        <w:t xml:space="preserve">3.1 Le cloud hybride et multicloud deviennent la norme</w:t>
      </w:r>
    </w:p>
    <w:p>
      <w:pPr>
        <w:spacing w:after="120" w:before="0" w:line="276"/>
        <w:jc w:val="both"/>
      </w:pPr>
      <w:r>
        <w:rPr>
          <w:rFonts w:ascii="Calibri" w:cs="Calibri" w:eastAsia="Calibri" w:hAnsi="Calibri"/>
          <w:b/>
          <w:bCs/>
          <w:i w:val="false"/>
          <w:iCs w:val="false"/>
          <w:color w:val="000000"/>
          <w:sz w:val="24"/>
          <w:szCs w:val="24"/>
        </w:rPr>
        <w:t xml:space="preserve">Source : </w:t>
      </w:r>
      <w:r>
        <w:rPr>
          <w:rFonts w:ascii="Calibri" w:cs="Calibri" w:eastAsia="Calibri" w:hAnsi="Calibri"/>
          <w:b w:val="false"/>
          <w:bCs w:val="false"/>
          <w:i w:val="false"/>
          <w:iCs w:val="false"/>
          <w:color w:val="000000"/>
          <w:sz w:val="24"/>
          <w:szCs w:val="24"/>
        </w:rPr>
        <w:t xml:space="preserve">Objet Connecté / Keytech.io — Janvier 2026</w:t>
      </w:r>
    </w:p>
    <w:p>
      <w:pPr>
        <w:spacing w:after="120"/>
      </w:pPr>
      <w:hyperlink w:history="1" r:id="rId2fxrpanzqvtvhsv-miacj">
        <w:r>
          <w:rPr>
            <w:rFonts w:ascii="Calibri" w:cs="Calibri" w:eastAsia="Calibri" w:hAnsi="Calibri"/>
            <w:color w:val="0563C1"/>
            <w:sz w:val="20"/>
            <w:szCs w:val="20"/>
            <w:u w:val="single"/>
          </w:rPr>
          <w:t xml:space="preserve">https://www.objetconnecte.com/cloud-computing-2026/</w:t>
        </w:r>
      </w:hyperlink>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Synthèse : </w:t>
      </w:r>
      <w:r>
        <w:rPr>
          <w:rFonts w:ascii="Calibri" w:cs="Calibri" w:eastAsia="Calibri" w:hAnsi="Calibri"/>
          <w:b w:val="false"/>
          <w:bCs w:val="false"/>
          <w:i w:val="false"/>
          <w:iCs w:val="false"/>
          <w:color w:val="000000"/>
          <w:sz w:val="24"/>
          <w:szCs w:val="24"/>
        </w:rPr>
        <w:t xml:space="preserve">En 2026, les entreprises généralisent les architectures hybrides combinant cloud public, cloud privé et infrastructures on-premise. L’objectif est de ne plus dépendre d’un seul fournisseur et de gagner en flexibilité. Kubernetes s’impose comme le standard d’orchestration multi-environnements. En parallèle, le edge computing se développe pour traiter les données au plus près des sources, notamment dans l’industrie et la logistique. Selon les analystes, plus de 90 % des organisations utilisent désormais le cloud et 60 % y exécutent plus de la moitié de leurs charges de travail.</w:t>
      </w:r>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Impact pour le technicien SISR : </w:t>
      </w:r>
      <w:r>
        <w:rPr>
          <w:rFonts w:ascii="Calibri" w:cs="Calibri" w:eastAsia="Calibri" w:hAnsi="Calibri"/>
          <w:b w:val="false"/>
          <w:bCs w:val="false"/>
          <w:i w:val="false"/>
          <w:iCs w:val="false"/>
          <w:color w:val="000000"/>
          <w:sz w:val="24"/>
          <w:szCs w:val="24"/>
        </w:rPr>
        <w:t xml:space="preserve">en tant que technicien SISR, cela signifie que je serai amené à gérer des environnements mixtes : des serveurs on-premise connectés à des services cloud publics. La maîtrise de Kubernetes, de la virtualisation et de l’interconnexion réseau entre sites et cloud sera essentielle.</w:t>
      </w:r>
    </w:p>
    <w:p>
      <w:pPr>
        <w:spacing w:after="200"/>
      </w:pPr>
    </w:p>
    <w:p>
      <w:pPr>
        <w:pStyle w:val="Heading2"/>
      </w:pPr>
      <w:r>
        <w:rPr>
          <w:rFonts w:ascii="Calibri" w:cs="Calibri" w:eastAsia="Calibri" w:hAnsi="Calibri"/>
        </w:rPr>
        <w:t xml:space="preserve">3.2 Le cloud souverain et la certification SecNumCloud</w:t>
      </w:r>
    </w:p>
    <w:p>
      <w:pPr>
        <w:spacing w:after="120" w:before="0" w:line="276"/>
        <w:jc w:val="both"/>
      </w:pPr>
      <w:r>
        <w:rPr>
          <w:rFonts w:ascii="Calibri" w:cs="Calibri" w:eastAsia="Calibri" w:hAnsi="Calibri"/>
          <w:b/>
          <w:bCs/>
          <w:i w:val="false"/>
          <w:iCs w:val="false"/>
          <w:color w:val="000000"/>
          <w:sz w:val="24"/>
          <w:szCs w:val="24"/>
        </w:rPr>
        <w:t xml:space="preserve">Source : </w:t>
      </w:r>
      <w:r>
        <w:rPr>
          <w:rFonts w:ascii="Calibri" w:cs="Calibri" w:eastAsia="Calibri" w:hAnsi="Calibri"/>
          <w:b w:val="false"/>
          <w:bCs w:val="false"/>
          <w:i w:val="false"/>
          <w:iCs w:val="false"/>
          <w:color w:val="000000"/>
          <w:sz w:val="24"/>
          <w:szCs w:val="24"/>
        </w:rPr>
        <w:t xml:space="preserve">L’Usine Digitale / Tech-Insider — Janvier 2026</w:t>
      </w:r>
    </w:p>
    <w:p>
      <w:pPr>
        <w:spacing w:after="120"/>
      </w:pPr>
      <w:hyperlink w:history="1" r:id="rIdybq67dnqhwxgpqu4nhp4y">
        <w:r>
          <w:rPr>
            <w:rFonts w:ascii="Calibri" w:cs="Calibri" w:eastAsia="Calibri" w:hAnsi="Calibri"/>
            <w:color w:val="0563C1"/>
            <w:sz w:val="20"/>
            <w:szCs w:val="20"/>
            <w:u w:val="single"/>
          </w:rPr>
          <w:t xml:space="preserve">Lien vers l’article</w:t>
        </w:r>
      </w:hyperlink>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Synthèse : </w:t>
      </w:r>
      <w:r>
        <w:rPr>
          <w:rFonts w:ascii="Calibri" w:cs="Calibri" w:eastAsia="Calibri" w:hAnsi="Calibri"/>
          <w:b w:val="false"/>
          <w:bCs w:val="false"/>
          <w:i w:val="false"/>
          <w:iCs w:val="false"/>
          <w:color w:val="000000"/>
          <w:sz w:val="24"/>
          <w:szCs w:val="24"/>
        </w:rPr>
        <w:t xml:space="preserve">Fin 2025, S3NS (alliance Thales / Google Cloud) a obtenu la qualification SecNumCloud 3.2 de l’ANSSI pour son offre « Premi3ns ». C’est le premier cloud combinant technologies d’un hyperscaler américain et garanties de sécurité françaises à obtenir ce label. Bleu (Orange / Capgemini, basé sur Microsoft Azure) vise la même certification début 2026. Le marché du cloud souverain européen atteint 12,4 milliards d’euros en 2026, en hausse de 34 %. Cette évolution répond aux inquiétudes liées au Cloud Act américain.</w:t>
      </w:r>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Impact pour le technicien SISR : </w:t>
      </w:r>
      <w:r>
        <w:rPr>
          <w:rFonts w:ascii="Calibri" w:cs="Calibri" w:eastAsia="Calibri" w:hAnsi="Calibri"/>
          <w:b w:val="false"/>
          <w:bCs w:val="false"/>
          <w:i w:val="false"/>
          <w:iCs w:val="false"/>
          <w:color w:val="000000"/>
          <w:sz w:val="24"/>
          <w:szCs w:val="24"/>
        </w:rPr>
        <w:t xml:space="preserve">la souveraineté des données devient un critère de choix d’infrastructure. Un technicien SISR doit comprendre les implications du Cloud Act, savoir différencier un cloud qualifié SecNumCloud d’un cloud classique, et conseiller sa direction sur le choix d’hébergement adapté au niveau de sensibilité des données.</w:t>
      </w:r>
    </w:p>
    <w:p>
      <w:pPr>
        <w:spacing w:after="200"/>
      </w:pPr>
    </w:p>
    <w:p>
      <w:pPr>
        <w:pStyle w:val="Heading2"/>
      </w:pPr>
      <w:r>
        <w:rPr>
          <w:rFonts w:ascii="Calibri" w:cs="Calibri" w:eastAsia="Calibri" w:hAnsi="Calibri"/>
        </w:rPr>
        <w:t xml:space="preserve">3.3 Les données de santé françaises quittent Microsoft Azure</w:t>
      </w:r>
    </w:p>
    <w:p>
      <w:pPr>
        <w:spacing w:after="120" w:before="0" w:line="276"/>
        <w:jc w:val="both"/>
      </w:pPr>
      <w:r>
        <w:rPr>
          <w:rFonts w:ascii="Calibri" w:cs="Calibri" w:eastAsia="Calibri" w:hAnsi="Calibri"/>
          <w:b/>
          <w:bCs/>
          <w:i w:val="false"/>
          <w:iCs w:val="false"/>
          <w:color w:val="000000"/>
          <w:sz w:val="24"/>
          <w:szCs w:val="24"/>
        </w:rPr>
        <w:t xml:space="preserve">Source : </w:t>
      </w:r>
      <w:r>
        <w:rPr>
          <w:rFonts w:ascii="Calibri" w:cs="Calibri" w:eastAsia="Calibri" w:hAnsi="Calibri"/>
          <w:b w:val="false"/>
          <w:bCs w:val="false"/>
          <w:i w:val="false"/>
          <w:iCs w:val="false"/>
          <w:color w:val="000000"/>
          <w:sz w:val="24"/>
          <w:szCs w:val="24"/>
        </w:rPr>
        <w:t xml:space="preserve">CIO Online / Acuité — Février 2026</w:t>
      </w:r>
    </w:p>
    <w:p>
      <w:pPr>
        <w:spacing w:after="120"/>
      </w:pPr>
      <w:hyperlink w:history="1" r:id="rIdsjxveq2gibynntfycintr">
        <w:r>
          <w:rPr>
            <w:rFonts w:ascii="Calibri" w:cs="Calibri" w:eastAsia="Calibri" w:hAnsi="Calibri"/>
            <w:color w:val="0563C1"/>
            <w:sz w:val="20"/>
            <w:szCs w:val="20"/>
            <w:u w:val="single"/>
          </w:rPr>
          <w:t xml:space="preserve">Lien vers l’article</w:t>
        </w:r>
      </w:hyperlink>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Synthèse : </w:t>
      </w:r>
      <w:r>
        <w:rPr>
          <w:rFonts w:ascii="Calibri" w:cs="Calibri" w:eastAsia="Calibri" w:hAnsi="Calibri"/>
          <w:b w:val="false"/>
          <w:bCs w:val="false"/>
          <w:i w:val="false"/>
          <w:iCs w:val="false"/>
          <w:color w:val="000000"/>
          <w:sz w:val="24"/>
          <w:szCs w:val="24"/>
        </w:rPr>
        <w:t xml:space="preserve">Le gouvernement français a officialisé en février 2026 la migration du Health Data Hub hors de Microsoft Azure. Un appel d’offres a été lancé pour un hébergeur qualifié SecNumCloud, excluant de fait les hyperscalers américains soumis au Cloud Act. OVHcloud et Cloud Temple figurent parmi les candidats. La bascule complète est prévue fin 2026. Cette décision fait suite à des années de critiques de la CNIL.</w:t>
      </w:r>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Impact pour le technicien SISR : </w:t>
      </w:r>
      <w:r>
        <w:rPr>
          <w:rFonts w:ascii="Calibri" w:cs="Calibri" w:eastAsia="Calibri" w:hAnsi="Calibri"/>
          <w:b w:val="false"/>
          <w:bCs w:val="false"/>
          <w:i w:val="false"/>
          <w:iCs w:val="false"/>
          <w:color w:val="000000"/>
          <w:sz w:val="24"/>
          <w:szCs w:val="24"/>
        </w:rPr>
        <w:t xml:space="preserve">c’est un cas concret de migration cloud motivée par la souveraineté. Cela illustre l’importance de la conformité réglementaire (RGPD, SecNumCloud) dans le choix d’infrastructure. Ce type de migration implique une planification rigoureuse, des tests de compatibilité et un accompagnement au changement.</w:t>
      </w:r>
    </w:p>
    <w:p>
      <w:r>
        <w:br w:type="page"/>
      </w:r>
    </w:p>
    <w:p>
      <w:pPr>
        <w:pStyle w:val="Heading2"/>
      </w:pPr>
      <w:r>
        <w:rPr>
          <w:rFonts w:ascii="Calibri" w:cs="Calibri" w:eastAsia="Calibri" w:hAnsi="Calibri"/>
        </w:rPr>
        <w:t xml:space="preserve">3.4 L’intelligence artificielle intégrée au cloud</w:t>
      </w:r>
    </w:p>
    <w:p>
      <w:pPr>
        <w:spacing w:after="120" w:before="0" w:line="276"/>
        <w:jc w:val="both"/>
      </w:pPr>
      <w:r>
        <w:rPr>
          <w:rFonts w:ascii="Calibri" w:cs="Calibri" w:eastAsia="Calibri" w:hAnsi="Calibri"/>
          <w:b/>
          <w:bCs/>
          <w:i w:val="false"/>
          <w:iCs w:val="false"/>
          <w:color w:val="000000"/>
          <w:sz w:val="24"/>
          <w:szCs w:val="24"/>
        </w:rPr>
        <w:t xml:space="preserve">Source : </w:t>
      </w:r>
      <w:r>
        <w:rPr>
          <w:rFonts w:ascii="Calibri" w:cs="Calibri" w:eastAsia="Calibri" w:hAnsi="Calibri"/>
          <w:b w:val="false"/>
          <w:bCs w:val="false"/>
          <w:i w:val="false"/>
          <w:iCs w:val="false"/>
          <w:color w:val="000000"/>
          <w:sz w:val="24"/>
          <w:szCs w:val="24"/>
        </w:rPr>
        <w:t xml:space="preserve">Solutions Numériques / Objet Connecté — Décembre 2025 - Janvier 2026</w:t>
      </w:r>
    </w:p>
    <w:p>
      <w:pPr>
        <w:spacing w:after="120"/>
      </w:pPr>
      <w:hyperlink w:history="1" r:id="rIddkkxu5gkmualefxccmwh_">
        <w:r>
          <w:rPr>
            <w:rFonts w:ascii="Calibri" w:cs="Calibri" w:eastAsia="Calibri" w:hAnsi="Calibri"/>
            <w:color w:val="0563C1"/>
            <w:sz w:val="20"/>
            <w:szCs w:val="20"/>
            <w:u w:val="single"/>
          </w:rPr>
          <w:t xml:space="preserve">Lien vers l’article</w:t>
        </w:r>
      </w:hyperlink>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Synthèse : </w:t>
      </w:r>
      <w:r>
        <w:rPr>
          <w:rFonts w:ascii="Calibri" w:cs="Calibri" w:eastAsia="Calibri" w:hAnsi="Calibri"/>
          <w:b w:val="false"/>
          <w:bCs w:val="false"/>
          <w:i w:val="false"/>
          <w:iCs w:val="false"/>
          <w:color w:val="000000"/>
          <w:sz w:val="24"/>
          <w:szCs w:val="24"/>
        </w:rPr>
        <w:t xml:space="preserve">L’IA n’est plus une option mais un composant central des plateformes cloud en 2026. Les outils de MLOps permettent de déployer et gérer des modèles d’IA directement dans le cloud. Les entreprises préfèrent de plus en plus exécuter des LLM open source dans leurs propres VM avec GPU, plutôt que d’utiliser les services IA propriétaires des hyperscalers facturés au token. Les « AI clouds », des environnements spécifiquement conçus pour l’apprentissage et l’inférence, se développent rapidement.</w:t>
      </w:r>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Impact pour le technicien SISR : </w:t>
      </w:r>
      <w:r>
        <w:rPr>
          <w:rFonts w:ascii="Calibri" w:cs="Calibri" w:eastAsia="Calibri" w:hAnsi="Calibri"/>
          <w:b w:val="false"/>
          <w:bCs w:val="false"/>
          <w:i w:val="false"/>
          <w:iCs w:val="false"/>
          <w:color w:val="000000"/>
          <w:sz w:val="24"/>
          <w:szCs w:val="24"/>
        </w:rPr>
        <w:t xml:space="preserve">même en tant que technicien infrastructure, l’IA impacte mon métier : les outils de supervision intègrent de l’IA prédictive, les déploiements s’automatisent, et les besoins en ressources GPU dans le cloud modifient le dimensionnement des infrastructures.</w:t>
      </w:r>
    </w:p>
    <w:p>
      <w:pPr>
        <w:spacing w:after="200"/>
      </w:pPr>
    </w:p>
    <w:p>
      <w:pPr>
        <w:pStyle w:val="Heading2"/>
      </w:pPr>
      <w:r>
        <w:rPr>
          <w:rFonts w:ascii="Calibri" w:cs="Calibri" w:eastAsia="Calibri" w:hAnsi="Calibri"/>
        </w:rPr>
        <w:t xml:space="preserve">3.5 FinOps : la maîtrise des coûts du cloud</w:t>
      </w:r>
    </w:p>
    <w:p>
      <w:pPr>
        <w:spacing w:after="120" w:before="0" w:line="276"/>
        <w:jc w:val="both"/>
      </w:pPr>
      <w:r>
        <w:rPr>
          <w:rFonts w:ascii="Calibri" w:cs="Calibri" w:eastAsia="Calibri" w:hAnsi="Calibri"/>
          <w:b/>
          <w:bCs/>
          <w:i w:val="false"/>
          <w:iCs w:val="false"/>
          <w:color w:val="000000"/>
          <w:sz w:val="24"/>
          <w:szCs w:val="24"/>
        </w:rPr>
        <w:t xml:space="preserve">Source : </w:t>
      </w:r>
      <w:r>
        <w:rPr>
          <w:rFonts w:ascii="Calibri" w:cs="Calibri" w:eastAsia="Calibri" w:hAnsi="Calibri"/>
          <w:b w:val="false"/>
          <w:bCs w:val="false"/>
          <w:i w:val="false"/>
          <w:iCs w:val="false"/>
          <w:color w:val="000000"/>
          <w:sz w:val="24"/>
          <w:szCs w:val="24"/>
        </w:rPr>
        <w:t xml:space="preserve">InformationWeek / CloudKeeper — Janvier 2026</w:t>
      </w:r>
    </w:p>
    <w:p>
      <w:pPr>
        <w:spacing w:after="120"/>
      </w:pPr>
      <w:hyperlink w:history="1" r:id="rIdtc6dq0swwgf5w-ifa5d1y">
        <w:r>
          <w:rPr>
            <w:rFonts w:ascii="Calibri" w:cs="Calibri" w:eastAsia="Calibri" w:hAnsi="Calibri"/>
            <w:color w:val="0563C1"/>
            <w:sz w:val="20"/>
            <w:szCs w:val="20"/>
            <w:u w:val="single"/>
          </w:rPr>
          <w:t xml:space="preserve">Lien vers l’article</w:t>
        </w:r>
      </w:hyperlink>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Synthèse : </w:t>
      </w:r>
      <w:r>
        <w:rPr>
          <w:rFonts w:ascii="Calibri" w:cs="Calibri" w:eastAsia="Calibri" w:hAnsi="Calibri"/>
          <w:b w:val="false"/>
          <w:bCs w:val="false"/>
          <w:i w:val="false"/>
          <w:iCs w:val="false"/>
          <w:color w:val="000000"/>
          <w:sz w:val="24"/>
          <w:szCs w:val="24"/>
        </w:rPr>
        <w:t xml:space="preserve">Les coûts du cloud augmentent en 2026 sous l’effet de la hausse des prix de l’énergie, du coût des GPU pour l’IA et de la construction de nouveaux datacenters. En moyenne, 32 % du budget cloud est gaspillé. Le FinOps, discipline unissant finance, ingénierie et métiers pour optimiser les dépenses cloud, passe du statut de bonne pratique à celui de fondement stratégique. L’Infrastructure as Code et l’automatisation DevOps deviennent la norme.</w:t>
      </w:r>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Impact pour le technicien SISR : </w:t>
      </w:r>
      <w:r>
        <w:rPr>
          <w:rFonts w:ascii="Calibri" w:cs="Calibri" w:eastAsia="Calibri" w:hAnsi="Calibri"/>
          <w:b w:val="false"/>
          <w:bCs w:val="false"/>
          <w:i w:val="false"/>
          <w:iCs w:val="false"/>
          <w:color w:val="000000"/>
          <w:sz w:val="24"/>
          <w:szCs w:val="24"/>
        </w:rPr>
        <w:t xml:space="preserve">la gestion des coûts cloud est un enjeu concret en entreprise. Un technicien SISR doit savoir dimensionner correctement les ressources (right-sizing), éviter le surprovisionnement et comprendre les modèles de facturation (pay-as-you-go, instances réservées).</w:t>
      </w:r>
    </w:p>
    <w:p>
      <w:pPr>
        <w:spacing w:after="200"/>
      </w:pPr>
    </w:p>
    <w:p>
      <w:pPr>
        <w:pStyle w:val="Heading2"/>
      </w:pPr>
      <w:r>
        <w:rPr>
          <w:rFonts w:ascii="Calibri" w:cs="Calibri" w:eastAsia="Calibri" w:hAnsi="Calibri"/>
        </w:rPr>
        <w:t xml:space="preserve">3.6 Sécurité cloud : Zero Trust et conformité NIS2</w:t>
      </w:r>
    </w:p>
    <w:p>
      <w:pPr>
        <w:spacing w:after="120" w:before="0" w:line="276"/>
        <w:jc w:val="both"/>
      </w:pPr>
      <w:r>
        <w:rPr>
          <w:rFonts w:ascii="Calibri" w:cs="Calibri" w:eastAsia="Calibri" w:hAnsi="Calibri"/>
          <w:b/>
          <w:bCs/>
          <w:i w:val="false"/>
          <w:iCs w:val="false"/>
          <w:color w:val="000000"/>
          <w:sz w:val="24"/>
          <w:szCs w:val="24"/>
        </w:rPr>
        <w:t xml:space="preserve">Source : </w:t>
      </w:r>
      <w:r>
        <w:rPr>
          <w:rFonts w:ascii="Calibri" w:cs="Calibri" w:eastAsia="Calibri" w:hAnsi="Calibri"/>
          <w:b w:val="false"/>
          <w:bCs w:val="false"/>
          <w:i w:val="false"/>
          <w:iCs w:val="false"/>
          <w:color w:val="000000"/>
          <w:sz w:val="24"/>
          <w:szCs w:val="24"/>
        </w:rPr>
        <w:t xml:space="preserve">Keytech.io / InformationWeek — Janvier 2026</w:t>
      </w:r>
    </w:p>
    <w:p>
      <w:pPr>
        <w:spacing w:after="120"/>
      </w:pPr>
      <w:hyperlink w:history="1" r:id="rIdqopolcwzgjrtdgozixmhs">
        <w:r>
          <w:rPr>
            <w:rFonts w:ascii="Calibri" w:cs="Calibri" w:eastAsia="Calibri" w:hAnsi="Calibri"/>
            <w:color w:val="0563C1"/>
            <w:sz w:val="20"/>
            <w:szCs w:val="20"/>
            <w:u w:val="single"/>
          </w:rPr>
          <w:t xml:space="preserve">Lien vers l’article</w:t>
        </w:r>
      </w:hyperlink>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Synthèse : </w:t>
      </w:r>
      <w:r>
        <w:rPr>
          <w:rFonts w:ascii="Calibri" w:cs="Calibri" w:eastAsia="Calibri" w:hAnsi="Calibri"/>
          <w:b w:val="false"/>
          <w:bCs w:val="false"/>
          <w:i w:val="false"/>
          <w:iCs w:val="false"/>
          <w:color w:val="000000"/>
          <w:sz w:val="24"/>
          <w:szCs w:val="24"/>
        </w:rPr>
        <w:t xml:space="preserve">La sécurité évolue vers un modèle Zero Trust où aucun accès n’est accordé par défaut, y compris à l’intérieur du réseau. La gestion avancée des identités et la surveillance continue deviennent des standards. La directive NIS2 impose des obligations renforcées de cybersécurité (détection d’intrusion, notification sous 24h). L’AI Act entre en vigueur en août 2026 avec des exigences strictes pour les systèmes d’IA à haut risque.</w:t>
      </w:r>
    </w:p>
    <w:p>
      <w:pPr>
        <w:spacing w:after="40"/>
      </w:pPr>
    </w:p>
    <w:p>
      <w:pPr>
        <w:spacing w:after="120" w:before="0" w:line="276"/>
        <w:jc w:val="both"/>
      </w:pPr>
      <w:r>
        <w:rPr>
          <w:rFonts w:ascii="Calibri" w:cs="Calibri" w:eastAsia="Calibri" w:hAnsi="Calibri"/>
          <w:b/>
          <w:bCs/>
          <w:i w:val="false"/>
          <w:iCs w:val="false"/>
          <w:color w:val="000000"/>
          <w:sz w:val="24"/>
          <w:szCs w:val="24"/>
          <w:u w:val="single"/>
        </w:rPr>
        <w:t xml:space="preserve">Impact pour le technicien SISR : </w:t>
      </w:r>
      <w:r>
        <w:rPr>
          <w:rFonts w:ascii="Calibri" w:cs="Calibri" w:eastAsia="Calibri" w:hAnsi="Calibri"/>
          <w:b w:val="false"/>
          <w:bCs w:val="false"/>
          <w:i w:val="false"/>
          <w:iCs w:val="false"/>
          <w:color w:val="000000"/>
          <w:sz w:val="24"/>
          <w:szCs w:val="24"/>
        </w:rPr>
        <w:t xml:space="preserve">le Zero Trust correspond directement à mon activité : gestion des droits AD, segmentation réseau par VLAN, authentification multi-facteurs. NIS2 oblige les entreprises à renforcer la détection d’intrusion et la notification d’incidents, ce qui valorise les compétences en supervision (Nagios) et en gestion d’incidents (GLPI).</w:t>
      </w:r>
    </w:p>
    <w:p>
      <w:r>
        <w:br w:type="page"/>
      </w:r>
    </w:p>
    <w:p>
      <w:pPr>
        <w:pStyle w:val="Heading1"/>
      </w:pPr>
      <w:r>
        <w:rPr>
          <w:rFonts w:ascii="Calibri" w:cs="Calibri" w:eastAsia="Calibri" w:hAnsi="Calibri"/>
        </w:rPr>
        <w:t xml:space="preserve">4. Synthèse générale et enseignements</w:t>
      </w:r>
    </w:p>
    <w:p>
      <w:pPr>
        <w:pStyle w:val="Heading2"/>
      </w:pPr>
      <w:r>
        <w:rPr>
          <w:rFonts w:ascii="Calibri" w:cs="Calibri" w:eastAsia="Calibri" w:hAnsi="Calibri"/>
        </w:rPr>
        <w:t xml:space="preserve">Les grandes tendances à retenir</w:t>
      </w:r>
    </w:p>
    <w:p>
      <w:pPr>
        <w:pStyle w:val="ListParagraph"/>
        <w:numPr>
          <w:ilvl w:val="0"/>
          <w:numId w:val="6"/>
        </w:numPr>
        <w:spacing w:after="60" w:line="276"/>
      </w:pPr>
      <w:r>
        <w:rPr>
          <w:rFonts w:ascii="Calibri" w:cs="Calibri" w:eastAsia="Calibri" w:hAnsi="Calibri"/>
          <w:b/>
          <w:bCs/>
          <w:i w:val="false"/>
          <w:iCs w:val="false"/>
          <w:color w:val="000000"/>
          <w:sz w:val="24"/>
          <w:szCs w:val="24"/>
        </w:rPr>
        <w:t xml:space="preserve">L’ère du « tout cloud public » est révolue : </w:t>
      </w:r>
      <w:r>
        <w:rPr>
          <w:rFonts w:ascii="Calibri" w:cs="Calibri" w:eastAsia="Calibri" w:hAnsi="Calibri"/>
          <w:b w:val="false"/>
          <w:bCs w:val="false"/>
          <w:i w:val="false"/>
          <w:iCs w:val="false"/>
          <w:color w:val="000000"/>
          <w:sz w:val="24"/>
          <w:szCs w:val="24"/>
        </w:rPr>
        <w:t xml:space="preserve">les entreprises privilégient les architectures hybrides et multicloud pour éviter la dépendance à un seul fournisseur.</w:t>
      </w:r>
    </w:p>
    <w:p>
      <w:pPr>
        <w:pStyle w:val="ListParagraph"/>
        <w:numPr>
          <w:ilvl w:val="0"/>
          <w:numId w:val="6"/>
        </w:numPr>
        <w:spacing w:after="60" w:line="276"/>
      </w:pPr>
      <w:r>
        <w:rPr>
          <w:rFonts w:ascii="Calibri" w:cs="Calibri" w:eastAsia="Calibri" w:hAnsi="Calibri"/>
          <w:b/>
          <w:bCs/>
          <w:i w:val="false"/>
          <w:iCs w:val="false"/>
          <w:color w:val="000000"/>
          <w:sz w:val="24"/>
          <w:szCs w:val="24"/>
        </w:rPr>
        <w:t xml:space="preserve">La souveraineté des données s’impose : </w:t>
      </w:r>
      <w:r>
        <w:rPr>
          <w:rFonts w:ascii="Calibri" w:cs="Calibri" w:eastAsia="Calibri" w:hAnsi="Calibri"/>
          <w:b w:val="false"/>
          <w:bCs w:val="false"/>
          <w:i w:val="false"/>
          <w:iCs w:val="false"/>
          <w:color w:val="000000"/>
          <w:sz w:val="24"/>
          <w:szCs w:val="24"/>
        </w:rPr>
        <w:t xml:space="preserve">la certification SecNumCloud, la migration du Health Data Hub et les offres S3NS/Bleu illustrent un mouvement de fond vers un cloud de confiance européen.</w:t>
      </w:r>
    </w:p>
    <w:p>
      <w:pPr>
        <w:pStyle w:val="ListParagraph"/>
        <w:numPr>
          <w:ilvl w:val="0"/>
          <w:numId w:val="6"/>
        </w:numPr>
        <w:spacing w:after="60" w:line="276"/>
      </w:pPr>
      <w:r>
        <w:rPr>
          <w:rFonts w:ascii="Calibri" w:cs="Calibri" w:eastAsia="Calibri" w:hAnsi="Calibri"/>
          <w:b/>
          <w:bCs/>
          <w:i w:val="false"/>
          <w:iCs w:val="false"/>
          <w:color w:val="000000"/>
          <w:sz w:val="24"/>
          <w:szCs w:val="24"/>
        </w:rPr>
        <w:t xml:space="preserve">L’IA est intégrée nativement au cloud : </w:t>
      </w:r>
      <w:r>
        <w:rPr>
          <w:rFonts w:ascii="Calibri" w:cs="Calibri" w:eastAsia="Calibri" w:hAnsi="Calibri"/>
          <w:b w:val="false"/>
          <w:bCs w:val="false"/>
          <w:i w:val="false"/>
          <w:iCs w:val="false"/>
          <w:color w:val="000000"/>
          <w:sz w:val="24"/>
          <w:szCs w:val="24"/>
        </w:rPr>
        <w:t xml:space="preserve">elle transforme les plateformes et modifie les besoins en infrastructure (GPU, stockage, réseau).</w:t>
      </w:r>
    </w:p>
    <w:p>
      <w:pPr>
        <w:pStyle w:val="ListParagraph"/>
        <w:numPr>
          <w:ilvl w:val="0"/>
          <w:numId w:val="6"/>
        </w:numPr>
        <w:spacing w:after="60" w:line="276"/>
      </w:pPr>
      <w:r>
        <w:rPr>
          <w:rFonts w:ascii="Calibri" w:cs="Calibri" w:eastAsia="Calibri" w:hAnsi="Calibri"/>
          <w:b/>
          <w:bCs/>
          <w:i w:val="false"/>
          <w:iCs w:val="false"/>
          <w:color w:val="000000"/>
          <w:sz w:val="24"/>
          <w:szCs w:val="24"/>
        </w:rPr>
        <w:t xml:space="preserve">Les coûts cloud augmentent : </w:t>
      </w:r>
      <w:r>
        <w:rPr>
          <w:rFonts w:ascii="Calibri" w:cs="Calibri" w:eastAsia="Calibri" w:hAnsi="Calibri"/>
          <w:b w:val="false"/>
          <w:bCs w:val="false"/>
          <w:i w:val="false"/>
          <w:iCs w:val="false"/>
          <w:color w:val="000000"/>
          <w:sz w:val="24"/>
          <w:szCs w:val="24"/>
        </w:rPr>
        <w:t xml:space="preserve">le FinOps et l’optimisation des ressources deviennent incontournables.</w:t>
      </w:r>
    </w:p>
    <w:p>
      <w:pPr>
        <w:pStyle w:val="ListParagraph"/>
        <w:numPr>
          <w:ilvl w:val="0"/>
          <w:numId w:val="6"/>
        </w:numPr>
        <w:spacing w:after="60" w:line="276"/>
      </w:pPr>
      <w:r>
        <w:rPr>
          <w:rFonts w:ascii="Calibri" w:cs="Calibri" w:eastAsia="Calibri" w:hAnsi="Calibri"/>
          <w:b/>
          <w:bCs/>
          <w:i w:val="false"/>
          <w:iCs w:val="false"/>
          <w:color w:val="000000"/>
          <w:sz w:val="24"/>
          <w:szCs w:val="24"/>
        </w:rPr>
        <w:t xml:space="preserve">La sécurité évolue vers le Zero Trust : </w:t>
      </w:r>
      <w:r>
        <w:rPr>
          <w:rFonts w:ascii="Calibri" w:cs="Calibri" w:eastAsia="Calibri" w:hAnsi="Calibri"/>
          <w:b w:val="false"/>
          <w:bCs w:val="false"/>
          <w:i w:val="false"/>
          <w:iCs w:val="false"/>
          <w:color w:val="000000"/>
          <w:sz w:val="24"/>
          <w:szCs w:val="24"/>
        </w:rPr>
        <w:t xml:space="preserve">NIS2 et l’AI Act renforcent les obligations en matière de cybersécurité.</w:t>
      </w:r>
    </w:p>
    <w:p>
      <w:pPr>
        <w:spacing w:after="200"/>
      </w:pPr>
    </w:p>
    <w:p>
      <w:pPr>
        <w:pStyle w:val="Heading2"/>
      </w:pPr>
      <w:r>
        <w:rPr>
          <w:rFonts w:ascii="Calibri" w:cs="Calibri" w:eastAsia="Calibri" w:hAnsi="Calibri"/>
        </w:rPr>
        <w:t xml:space="preserve">Ce que cette veille m’a apporté</w:t>
      </w:r>
    </w:p>
    <w:p>
      <w:pPr>
        <w:spacing w:after="120" w:before="0" w:line="276"/>
        <w:jc w:val="both"/>
      </w:pPr>
      <w:r>
        <w:rPr>
          <w:rFonts w:ascii="Calibri" w:cs="Calibri" w:eastAsia="Calibri" w:hAnsi="Calibri"/>
          <w:b w:val="false"/>
          <w:bCs w:val="false"/>
          <w:i w:val="false"/>
          <w:iCs w:val="false"/>
          <w:color w:val="000000"/>
          <w:sz w:val="24"/>
          <w:szCs w:val="24"/>
        </w:rPr>
        <w:t xml:space="preserve">Cette veille m’a permis de mieux comprendre l’écosystème cloud actuel et ses enjeux pour un technicien infrastructure. Plusieurs éléments sont directement liés à mes activités en entreprise :</w:t>
      </w:r>
    </w:p>
    <w:p>
      <w:pPr>
        <w:spacing w:after="40"/>
      </w:pPr>
    </w:p>
    <w:p>
      <w:pPr>
        <w:pStyle w:val="ListParagraph"/>
        <w:numPr>
          <w:ilvl w:val="0"/>
          <w:numId w:val="7"/>
        </w:numPr>
        <w:spacing w:after="60" w:line="276"/>
      </w:pPr>
      <w:r>
        <w:rPr>
          <w:rFonts w:ascii="Calibri" w:cs="Calibri" w:eastAsia="Calibri" w:hAnsi="Calibri"/>
          <w:b/>
          <w:bCs/>
          <w:i w:val="false"/>
          <w:iCs w:val="false"/>
          <w:color w:val="000000"/>
          <w:sz w:val="24"/>
          <w:szCs w:val="24"/>
        </w:rPr>
        <w:t xml:space="preserve">La gestion des droits Active Directory et la segmentation VLAN </w:t>
      </w:r>
      <w:r>
        <w:rPr>
          <w:rFonts w:ascii="Calibri" w:cs="Calibri" w:eastAsia="Calibri" w:hAnsi="Calibri"/>
          <w:b w:val="false"/>
          <w:bCs w:val="false"/>
          <w:i w:val="false"/>
          <w:iCs w:val="false"/>
          <w:color w:val="000000"/>
          <w:sz w:val="24"/>
          <w:szCs w:val="24"/>
        </w:rPr>
        <w:t xml:space="preserve">s’inscrivent dans la logique Zero Trust qui se généralise.</w:t>
      </w:r>
    </w:p>
    <w:p>
      <w:pPr>
        <w:pStyle w:val="ListParagraph"/>
        <w:numPr>
          <w:ilvl w:val="0"/>
          <w:numId w:val="7"/>
        </w:numPr>
        <w:spacing w:after="60" w:line="276"/>
      </w:pPr>
      <w:r>
        <w:rPr>
          <w:rFonts w:ascii="Calibri" w:cs="Calibri" w:eastAsia="Calibri" w:hAnsi="Calibri"/>
          <w:b/>
          <w:bCs/>
          <w:i w:val="false"/>
          <w:iCs w:val="false"/>
          <w:color w:val="000000"/>
          <w:sz w:val="24"/>
          <w:szCs w:val="24"/>
        </w:rPr>
        <w:t xml:space="preserve">La supervision avec Nagios </w:t>
      </w:r>
      <w:r>
        <w:rPr>
          <w:rFonts w:ascii="Calibri" w:cs="Calibri" w:eastAsia="Calibri" w:hAnsi="Calibri"/>
          <w:b w:val="false"/>
          <w:bCs w:val="false"/>
          <w:i w:val="false"/>
          <w:iCs w:val="false"/>
          <w:color w:val="000000"/>
          <w:sz w:val="24"/>
          <w:szCs w:val="24"/>
        </w:rPr>
        <w:t xml:space="preserve">répond aux obligations de détection et de notification imposées par NIS2.</w:t>
      </w:r>
    </w:p>
    <w:p>
      <w:pPr>
        <w:pStyle w:val="ListParagraph"/>
        <w:numPr>
          <w:ilvl w:val="0"/>
          <w:numId w:val="7"/>
        </w:numPr>
        <w:spacing w:after="60" w:line="276"/>
      </w:pPr>
      <w:r>
        <w:rPr>
          <w:rFonts w:ascii="Calibri" w:cs="Calibri" w:eastAsia="Calibri" w:hAnsi="Calibri"/>
          <w:b/>
          <w:bCs/>
          <w:i w:val="false"/>
          <w:iCs w:val="false"/>
          <w:color w:val="000000"/>
          <w:sz w:val="24"/>
          <w:szCs w:val="24"/>
        </w:rPr>
        <w:t xml:space="preserve">Le déploiement DHCP/DNS et la migration Windows 11 </w:t>
      </w:r>
      <w:r>
        <w:rPr>
          <w:rFonts w:ascii="Calibri" w:cs="Calibri" w:eastAsia="Calibri" w:hAnsi="Calibri"/>
          <w:b w:val="false"/>
          <w:bCs w:val="false"/>
          <w:i w:val="false"/>
          <w:iCs w:val="false"/>
          <w:color w:val="000000"/>
          <w:sz w:val="24"/>
          <w:szCs w:val="24"/>
        </w:rPr>
        <w:t xml:space="preserve">sont des exemples de mise à disposition de services qui pourraient demain s’intégrer dans des architectures cloud hybrides.</w:t>
      </w:r>
    </w:p>
    <w:p>
      <w:pPr>
        <w:pStyle w:val="ListParagraph"/>
        <w:numPr>
          <w:ilvl w:val="0"/>
          <w:numId w:val="7"/>
        </w:numPr>
        <w:spacing w:after="60" w:line="276"/>
      </w:pPr>
      <w:r>
        <w:rPr>
          <w:rFonts w:ascii="Calibri" w:cs="Calibri" w:eastAsia="Calibri" w:hAnsi="Calibri"/>
          <w:b/>
          <w:bCs/>
          <w:i w:val="false"/>
          <w:iCs w:val="false"/>
          <w:color w:val="000000"/>
          <w:sz w:val="24"/>
          <w:szCs w:val="24"/>
        </w:rPr>
        <w:t xml:space="preserve">La connaissance du cloud souverain et de SecNumCloud </w:t>
      </w:r>
      <w:r>
        <w:rPr>
          <w:rFonts w:ascii="Calibri" w:cs="Calibri" w:eastAsia="Calibri" w:hAnsi="Calibri"/>
          <w:b w:val="false"/>
          <w:bCs w:val="false"/>
          <w:i w:val="false"/>
          <w:iCs w:val="false"/>
          <w:color w:val="000000"/>
          <w:sz w:val="24"/>
          <w:szCs w:val="24"/>
        </w:rPr>
        <w:t xml:space="preserve">est un atout pour ma carrière, car de plus en plus d’organisations exigent des hébergements certifiés.</w:t>
      </w:r>
    </w:p>
    <w:p>
      <w:pPr>
        <w:spacing w:after="200"/>
      </w:pPr>
    </w:p>
    <w:p>
      <w:pPr>
        <w:spacing w:after="120" w:before="0" w:line="276"/>
        <w:jc w:val="both"/>
      </w:pPr>
      <w:r>
        <w:rPr>
          <w:rFonts w:ascii="Calibri" w:cs="Calibri" w:eastAsia="Calibri" w:hAnsi="Calibri"/>
          <w:b w:val="false"/>
          <w:bCs w:val="false"/>
          <w:i/>
          <w:iCs/>
          <w:color w:val="000000"/>
          <w:sz w:val="24"/>
          <w:szCs w:val="24"/>
        </w:rPr>
        <w:t xml:space="preserve">Cette veille sera poursuivie au-delà du BTS, car le cloud computing est un domaine en évolution permanente qui impacte directement le métier d’administrateur systèmes et réseaux que je vise.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120"/>
    </w:pPr>
    <w:r>
      <w:rPr>
        <w:rFonts w:ascii="Calibri" w:cs="Calibri" w:eastAsia="Calibri" w:hAnsi="Calibri"/>
        <w:i/>
        <w:iCs/>
        <w:color w:val="666666"/>
        <w:sz w:val="18"/>
        <w:szCs w:val="18"/>
      </w:rPr>
      <w:t xml:space="preserve">Veille informationnelle — Cloud Computing</w:t>
    </w:r>
    <w:r>
      <w:rPr>
        <w:rFonts w:ascii="Calibri" w:cs="Calibri" w:eastAsia="Calibri" w:hAnsi="Calibri"/>
        <w:i/>
        <w:iCs/>
        <w:color w:val="666666"/>
        <w:sz w:val="18"/>
        <w:szCs w:val="18"/>
      </w:rPr>
      <w:t xml:space="preserve">	Valentin ACBARD — BTS SIO SISR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4" w:space="4"/>
      </w:pBdr>
      <w:spacing w:after="20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fxrpanzqvtvhsv-miacj" Type="http://schemas.openxmlformats.org/officeDocument/2006/relationships/hyperlink" Target="https://www.objetconnecte.com/cloud-computing-2026/" TargetMode="External"/><Relationship Id="rIdybq67dnqhwxgpqu4nhp4y" Type="http://schemas.openxmlformats.org/officeDocument/2006/relationships/hyperlink" Target="https://www.usine-digitale.fr/informatique/cloud/souverainete-ce-que-lobtention-du-visa-secnumcloud-par-s3ns-change-durablement-dans-la-doctrine-francaise-du-cloud-de-confiance" TargetMode="External"/><Relationship Id="rIdsjxveq2gibynntfycintr" Type="http://schemas.openxmlformats.org/officeDocument/2006/relationships/hyperlink" Target="https://www.cio-online.com/actualites/lire-le-health-data-hub-sort-d-azure-pour-basculer-fin-2026-vers-un-cloud-secnumcloud-16830.html" TargetMode="External"/><Relationship Id="rIddkkxu5gkmualefxccmwh_" Type="http://schemas.openxmlformats.org/officeDocument/2006/relationships/hyperlink" Target="https://www.solutions-numeriques.com/avis-dexpert-trois-tendances-qui-redefiniront-les-infrastructures-cloud-des-entreprises-et-des-administrations-en-2026/" TargetMode="External"/><Relationship Id="rIdtc6dq0swwgf5w-ifa5d1y" Type="http://schemas.openxmlformats.org/officeDocument/2006/relationships/hyperlink" Target="https://www.informationweek.com/it-infrastructure/7-cloud-computing-trends-for-leaders-to-watch-in-2026" TargetMode="External"/><Relationship Id="rIdqopolcwzgjrtdgozixmhs" Type="http://schemas.openxmlformats.org/officeDocument/2006/relationships/hyperlink" Target="https://keytech.io/les-grandes-tendances-it-2026-ce-qui-change-vraiment-pour-les-entreprise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2026-03-20T12:47:30.080Z</dcterms:created>
  <dcterms:modified xsi:type="dcterms:W3CDTF">2026-03-20T12:47:30.080Z</dcterms:modified>
</cp:coreProperties>
</file>

<file path=docProps/custom.xml><?xml version="1.0" encoding="utf-8"?>
<Properties xmlns="http://schemas.openxmlformats.org/officeDocument/2006/custom-properties" xmlns:vt="http://schemas.openxmlformats.org/officeDocument/2006/docPropsVTypes"/>
</file>