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3"/>
        <w:pStyle w:val="MdHeading3"/>
      </w:pPr>
      <w:r>
        <w:t xml:space="preserve">Adjacent punctuation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closing parenthesis: (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semicolon: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3</m:t>
            </m:r>
          </m:sub>
        </m:sSub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en-dash range: </w:t>
      </w:r>
      <m:oMath>
        <m:r>
          <m:t>a</m:t>
        </m:r>
        <m:r>
          <m:t>≈</m:t>
        </m:r>
        <m:r>
          <m:t>1</m:t>
        </m:r>
      </m:oMath>
      <w:r>
        <w:t xml:space="preserve">–200 nm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between two ranges: </w:t>
      </w:r>
      <m:oMath>
        <m:r>
          <m:t>ρ</m:t>
        </m:r>
        <m:r>
          <m:t>≈</m:t>
        </m:r>
        <m:sSup>
          <m:sSupPr/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–</w:t>
      </w:r>
      <m:oMath>
        <m:sSup>
          <m:sSupPr/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Compound term with hyphen: </w:t>
      </w:r>
      <m:oMath>
        <m:sSub>
          <m:sSubPr/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-regularization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Non-space prefix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Unit with superscript: </w:t>
      </w:r>
      <m:oMath>
        <m:r>
          <m:t>k</m:t>
        </m:r>
        <m:sSup>
          <m:sSupPr/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MPa·</w:t>
      </w:r>
      <m:oMath>
        <m:sSup>
          <m:sSupPr/>
          <m:e>
            <m:r>
              <m:t>m</m:t>
            </m:r>
          </m:e>
          <m:sup>
            <m:r>
              <m:t>1</m:t>
            </m:r>
            <m:r>
              <m:t>/</m:t>
            </m:r>
            <m:r>
              <m:t>2</m:t>
            </m:r>
          </m:sup>
        </m:sSup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2026-06-29T08:28:58.904Z</dcterms:created>
  <dcterms:modified xsi:type="dcterms:W3CDTF">2026-06-29T08:28:58.904Z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