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Paragraph"/>
      </w:pPr>
      <w:r>
        <w:rPr>
          <w:rStyle w:val="MdStrong"/>
          <w:b/>
          <w:bCs/>
        </w:rPr>
        <w:t xml:space="preserve">The Cauchy-Schwarz Inequality</w:t>
      </w:r>
      <w:r>
        <w:t xml:space="preserve">584500left( sum_{k=1}^n a_k b_k </w:t>
      </w:r>
      <w:r>
        <w:br/>
        <w:t xml:space="preserve">ight)^2 leq left( sum_{k=1}^n a_k^2 </w:t>
      </w:r>
      <w:r>
        <w:br/>
        <w:t xml:space="preserve">ight) left( sum_{k=1}^n b_k^2 </w:t>
      </w:r>
      <w:r>
        <w:br/>
        <w:t xml:space="preserve">ight)584500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  <w:color w:val="FF0000"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2025-10-07T15:58:17.807Z</dcterms:created>
  <dcterms:modified xsi:type="dcterms:W3CDTF">2025-10-07T15:58:17.807Z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