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92"/>
        <w:ind w:left="0" w:right="0"/>
      </w:pPr>
    </w:p>
    <w:p>
      <w:pPr>
        <w:autoSpaceDN w:val="0"/>
        <w:autoSpaceDE w:val="0"/>
        <w:widowControl/>
        <w:spacing w:line="310" w:lineRule="auto" w:before="262" w:after="0"/>
        <w:ind w:left="0" w:right="144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NÁJEMNÍ SMLOUVA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(o nájmu bytu podle § 2201 a násl. zákona č. 89/2012 Sb., občanský zákoník) </w:t>
      </w:r>
      <w:r>
        <w:br/>
      </w:r>
      <w:r>
        <w:rPr>
          <w:rFonts w:ascii="Aptos" w:hAnsi="Aptos" w:eastAsia="Aptos"/>
          <w:b w:val="0"/>
          <w:i/>
          <w:color w:val="000000"/>
          <w:sz w:val="22"/>
        </w:rPr>
        <w:t xml:space="preserve">Délka dokumentu odpovídá přibližně pěti stranám formátu A4 při běžném řádkování a velikosti </w:t>
      </w:r>
      <w:r>
        <w:rPr>
          <w:rFonts w:ascii="Aptos" w:hAnsi="Aptos" w:eastAsia="Aptos"/>
          <w:b w:val="0"/>
          <w:i/>
          <w:color w:val="000000"/>
          <w:sz w:val="22"/>
        </w:rPr>
        <w:t>písma 11–12 pt.</w:t>
      </w:r>
    </w:p>
    <w:p>
      <w:pPr>
        <w:autoSpaceDN w:val="0"/>
        <w:autoSpaceDE w:val="0"/>
        <w:widowControl/>
        <w:spacing w:line="228" w:lineRule="auto" w:before="630" w:after="166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 Smluvní strany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015"/>
        <w:gridCol w:w="3015"/>
        <w:gridCol w:w="3015"/>
      </w:tblGrid>
      <w:tr>
        <w:trPr>
          <w:trHeight w:hRule="exact" w:val="446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5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Jméno a příjmení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Pronajímatel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Nájemce </w:t>
            </w:r>
          </w:p>
        </w:tc>
      </w:tr>
      <w:tr>
        <w:trPr>
          <w:trHeight w:hRule="exact" w:val="500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t>[[PERSON_13]]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t>[[PERSON_14]]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Datum narození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3. 5. 1982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17. 11. 1991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Adresa trvalého </w:t>
            </w:r>
          </w:p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00" w:right="0" w:firstLine="0"/>
              <w:jc w:val="left"/>
            </w:pPr>
            <w:r>
              <w:t>[[ADDRESS_2]]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508" w:right="0" w:firstLine="0"/>
              <w:jc w:val="left"/>
            </w:pPr>
            <w:r>
              <w:t>[[ADDRESS_3]]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pobytu</w:t>
            </w:r>
          </w:p>
        </w:tc>
        <w:tc>
          <w:tcPr>
            <w:tcW w:type="dxa" w:w="3015"/>
            <w:vMerge/>
            <w:tcBorders/>
          </w:tcPr>
          <w:p/>
        </w:tc>
        <w:tc>
          <w:tcPr>
            <w:tcW w:type="dxa" w:w="3015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Číslo OP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t xml:space="preserve">[[BIRTH_ID_1]]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t xml:space="preserve">[[BIRTH_ID_2]] 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Bankovní účet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00" w:right="0" w:firstLine="0"/>
              <w:jc w:val="left"/>
            </w:pPr>
            <w:r>
              <w:t xml:space="preserve">[[BANK_1]]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508" w:right="0" w:firstLine="0"/>
              <w:jc w:val="left"/>
            </w:pPr>
            <w:r>
              <w:t xml:space="preserve">[[BANK_2]] </w:t>
            </w:r>
          </w:p>
        </w:tc>
      </w:tr>
      <w:tr>
        <w:trPr>
          <w:trHeight w:hRule="exact" w:val="400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Telefon / E-mail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t xml:space="preserve">[[PHONE_1]] /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t xml:space="preserve">[[PHONE_2]] / </w:t>
            </w:r>
          </w:p>
        </w:tc>
      </w:tr>
      <w:tr>
        <w:trPr>
          <w:trHeight w:hRule="exact" w:val="342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00" w:right="0" w:firstLine="0"/>
              <w:jc w:val="left"/>
            </w:pPr>
            <w:r>
              <w:t>[[EMAIL_1]]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508" w:right="0" w:firstLine="0"/>
              <w:jc w:val="left"/>
            </w:pPr>
            <w:r>
              <w:t>[[EMAIL_2]]</w:t>
            </w:r>
          </w:p>
        </w:tc>
      </w:tr>
    </w:tbl>
    <w:p>
      <w:pPr>
        <w:autoSpaceDN w:val="0"/>
        <w:autoSpaceDE w:val="0"/>
        <w:widowControl/>
        <w:spacing w:line="228" w:lineRule="auto" w:before="16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a Nájemce jsou dále společně označováni jako </w:t>
      </w:r>
      <w:r>
        <w:rPr>
          <w:rFonts w:ascii="Aptos" w:hAnsi="Aptos" w:eastAsia="Aptos"/>
          <w:b/>
          <w:i w:val="0"/>
          <w:color w:val="000000"/>
          <w:sz w:val="22"/>
        </w:rPr>
        <w:t>„Smluvní strany“.</w:t>
      </w:r>
    </w:p>
    <w:p>
      <w:pPr>
        <w:autoSpaceDN w:val="0"/>
        <w:tabs>
          <w:tab w:pos="360" w:val="left"/>
          <w:tab w:pos="720" w:val="left"/>
        </w:tabs>
        <w:autoSpaceDE w:val="0"/>
        <w:widowControl/>
        <w:spacing w:line="276" w:lineRule="auto" w:before="630" w:after="0"/>
        <w:ind w:left="0" w:right="0" w:firstLine="0"/>
        <w:jc w:val="left"/>
      </w:pPr>
      <w:r>
        <w:t xml:space="preserve">2 Předmět nájmu </w:t>
        <w:br/>
        <w:tab/>
        <w:t xml:space="preserve">1.Pronajímatel přenechává Nájemci do užívání bytovou jednotku č. 12 o celkové výměře </w:t>
        <w:tab/>
        <w:tab/>
        <w:t xml:space="preserve">63 m² nacházející se v 2. [[ADDRESS_1]] (dále jen </w:t>
        <w:tab/>
        <w:tab/>
        <w:t xml:space="preserve">„Byt“).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576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 Bytu náleží sklepní kóje č. 12 o výměře 3 m² a společné prostory domu (kolárna,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kočárkárna, sušárna).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 je vybaven movitými věcmi uvedenými v příloze č. 1 této smlouvy (Inventární list).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28" w:after="0"/>
        <w:ind w:left="0" w:right="216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3 Doba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 se sjednává na </w:t>
      </w:r>
      <w:r>
        <w:rPr>
          <w:rFonts w:ascii="Aptos" w:hAnsi="Aptos" w:eastAsia="Aptos"/>
          <w:b/>
          <w:i w:val="0"/>
          <w:color w:val="000000"/>
          <w:sz w:val="22"/>
        </w:rPr>
        <w:t>dobu určitou od 1. 6. 2025 do 31. 5. 2026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. </w:t>
      </w:r>
    </w:p>
    <w:p>
      <w:pPr>
        <w:autoSpaceDN w:val="0"/>
        <w:autoSpaceDE w:val="0"/>
        <w:widowControl/>
        <w:spacing w:line="245" w:lineRule="auto" w:before="180" w:after="0"/>
        <w:ind w:left="720" w:right="0" w:hanging="36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Pokud žádná ze Smluvních stran písemně neoznámí druhé straně nejpozději 2 měsíce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 uplynutím doby nájmu, že na nástavě netrvá, nájem se </w:t>
      </w:r>
      <w:r>
        <w:rPr>
          <w:rFonts w:ascii="Aptos" w:hAnsi="Aptos" w:eastAsia="Aptos"/>
          <w:b/>
          <w:i w:val="0"/>
          <w:color w:val="000000"/>
          <w:sz w:val="22"/>
        </w:rPr>
        <w:t>automaticky prodlužuje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o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další jeden rok za stejných podmínek.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 Nájemné a platební podmínky </w:t>
      </w:r>
    </w:p>
    <w:p>
      <w:pPr>
        <w:sectPr>
          <w:pgSz w:w="11906" w:h="16838"/>
          <w:pgMar w:top="814" w:right="1420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4.1 Výše nájemného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t>•</w:t>
        <w:tab/>
        <w:t xml:space="preserve">Měsíční nájemné: [[AMOUNT_1]]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t>•</w:t>
        <w:tab/>
        <w:t xml:space="preserve">Záloha na služby spojené s užíváním bytu: [[AMOUNT_2]]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t>•</w:t>
        <w:tab/>
        <w:t>Celkem měsíčně:[[AMOUNT_3]]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4.2 Platební kalendář </w:t>
      </w:r>
    </w:p>
    <w:p>
      <w:pPr>
        <w:autoSpaceDN w:val="0"/>
        <w:tabs>
          <w:tab w:pos="1532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Období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Datum splatnosti Nájemné (Kč) Zálohy (Kč) Celkem (Kč)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 2025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25. 5. 2025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14 500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3 200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17 700 </w:t>
      </w:r>
    </w:p>
    <w:p>
      <w:pPr>
        <w:autoSpaceDN w:val="0"/>
        <w:tabs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Červenec 2025 25. 6. 2025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14 500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3 200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17 700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Květen 2026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25. 4. 2026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14 500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3 200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17 700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Nájemce hradí platby </w:t>
      </w:r>
      <w:r>
        <w:rPr>
          <w:rFonts w:ascii="Aptos" w:hAnsi="Aptos" w:eastAsia="Aptos"/>
          <w:b/>
          <w:i/>
          <w:color w:val="000000"/>
          <w:sz w:val="22"/>
        </w:rPr>
        <w:t>měsíčně předem</w:t>
      </w:r>
      <w:r>
        <w:rPr>
          <w:rFonts w:ascii="Aptos" w:hAnsi="Aptos" w:eastAsia="Aptos"/>
          <w:b w:val="0"/>
          <w:i/>
          <w:color w:val="000000"/>
          <w:sz w:val="22"/>
        </w:rPr>
        <w:t xml:space="preserve"> převodem na bankovní účet Pronajímatele uvedený v </w:t>
      </w:r>
    </w:p>
    <w:p>
      <w:pPr>
        <w:autoSpaceDN w:val="0"/>
        <w:autoSpaceDE w:val="0"/>
        <w:widowControl/>
        <w:spacing w:line="228" w:lineRule="auto" w:before="1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>čl. 1.</w:t>
      </w:r>
    </w:p>
    <w:p>
      <w:pPr>
        <w:autoSpaceDN w:val="0"/>
        <w:autoSpaceDE w:val="0"/>
        <w:widowControl/>
        <w:spacing w:line="226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 den úhrady se považuje den připsání částky na účet Pronajímatele. </w:t>
      </w:r>
    </w:p>
    <w:p>
      <w:pPr>
        <w:autoSpaceDN w:val="0"/>
        <w:autoSpaceDE w:val="0"/>
        <w:widowControl/>
        <w:spacing w:line="228" w:lineRule="auto" w:before="63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5 Jistota (kauce)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t>1.Při podpisu smlouvy skládá [[PERSON_1]] kauci ve výši [[AMOUNT_4]]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(dvojnásobek měsíčního nájemného vč. služeb).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je oprávněn započíst na kauci: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nezaplacené nájemné nebo služby,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82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náhradu škody na Bytu či vybavení,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pokuty.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t xml:space="preserve">3.Nevyčerpanou část kauce vrátí [[PERSON_2]] do 30 dnů od předání Bytu.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 Předání a převzetí Bytu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6.1 Protokol o předání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sepisují </w:t>
      </w:r>
      <w:r>
        <w:rPr>
          <w:rFonts w:ascii="Aptos" w:hAnsi="Aptos" w:eastAsia="Aptos"/>
          <w:b/>
          <w:i w:val="0"/>
          <w:color w:val="000000"/>
          <w:sz w:val="22"/>
        </w:rPr>
        <w:t>Předávací protokol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, který obsahuje: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t xml:space="preserve">[[PERSON_3]] k 1. 6. 2025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studená voda 00428 m³ </w:t>
      </w:r>
    </w:p>
    <w:p>
      <w:pPr>
        <w:autoSpaceDN w:val="0"/>
        <w:tabs>
          <w:tab w:pos="24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teplá voda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00216 m³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Elektroměr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032 412 kWh </w:t>
      </w:r>
    </w:p>
    <w:p>
      <w:pPr>
        <w:sectPr>
          <w:pgSz w:w="11906" w:h="16838"/>
          <w:pgMar w:top="720" w:right="1420" w:bottom="10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2440" w:val="left"/>
        </w:tabs>
        <w:autoSpaceDE w:val="0"/>
        <w:widowControl/>
        <w:spacing w:line="226" w:lineRule="auto" w:before="0" w:after="0"/>
        <w:ind w:left="46" w:right="0" w:firstLine="0"/>
        <w:jc w:val="left"/>
      </w:pPr>
      <w:r>
        <w:t xml:space="preserve">[[PERSON_3]] k 1. 6. 2025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001 125 m³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6.2 Inventární list (výběr) </w:t>
      </w:r>
    </w:p>
    <w:p>
      <w:pPr>
        <w:autoSpaceDN w:val="0"/>
        <w:tabs>
          <w:tab w:pos="3132" w:val="left"/>
        </w:tabs>
        <w:autoSpaceDE w:val="0"/>
        <w:widowControl/>
        <w:spacing w:line="226" w:lineRule="auto" w:before="228" w:after="0"/>
        <w:ind w:left="46" w:right="0" w:firstLine="0"/>
        <w:jc w:val="left"/>
      </w:pPr>
      <w:r>
        <w:t xml:space="preserve">Č. [[PERSON_4]] ks Stav </w:t>
      </w:r>
    </w:p>
    <w:p>
      <w:pPr>
        <w:autoSpaceDN w:val="0"/>
        <w:tabs>
          <w:tab w:pos="40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1 Kuchyňská linka + spotřebiče 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2 Lednice 200 l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nový 2023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 Pračka 6 kg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 Postel dvoulůžko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5 Šatní skříň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drobné oděrky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Podrobný inventář tvoří </w:t>
      </w:r>
      <w:r>
        <w:rPr>
          <w:rFonts w:ascii="Aptos" w:hAnsi="Aptos" w:eastAsia="Aptos"/>
          <w:b/>
          <w:i w:val="0"/>
          <w:color w:val="000000"/>
          <w:sz w:val="22"/>
        </w:rPr>
        <w:t>přílohu č. 1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je nedílnou součástí této smlouvy.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7 Práva a povinnosti Pronajímatele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se zavazuje zejména: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t xml:space="preserve">1.[[PERSON_5]] ve stavu způsobilém k řádnému užívání.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Zajišťovat a hradit běžnou údržbu domu a společných částí.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Odstraňovat </w:t>
      </w:r>
      <w:r>
        <w:rPr>
          <w:rFonts w:ascii="Aptos" w:hAnsi="Aptos" w:eastAsia="Aptos"/>
          <w:b/>
          <w:i w:val="0"/>
          <w:color w:val="000000"/>
          <w:sz w:val="22"/>
        </w:rPr>
        <w:t>zásadní závady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Bytu (porucha stupačky, havárie elektroinstalace apod.) do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48 hodin od nahlášení. </w:t>
      </w:r>
    </w:p>
    <w:p>
      <w:pPr>
        <w:autoSpaceDN w:val="0"/>
        <w:autoSpaceDE w:val="0"/>
        <w:widowControl/>
        <w:spacing w:line="226" w:lineRule="auto" w:before="180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Respektovat soukromí Nájemce; vstup do Bytu je možný pouze po předchozí dohodě, </w:t>
      </w:r>
    </w:p>
    <w:p>
      <w:pPr>
        <w:autoSpaceDN w:val="0"/>
        <w:autoSpaceDE w:val="0"/>
        <w:widowControl/>
        <w:spacing w:line="228" w:lineRule="auto" w:before="22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není-li nutný okamžitý zásah při havárii.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8 Práva a povinnosti Nájemce </w:t>
      </w:r>
    </w:p>
    <w:p>
      <w:pPr>
        <w:autoSpaceDN w:val="0"/>
        <w:autoSpaceDE w:val="0"/>
        <w:widowControl/>
        <w:spacing w:line="226" w:lineRule="auto" w:before="180" w:after="12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je povinen zejména: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4"/>
        <w:gridCol w:w="4544"/>
      </w:tblGrid>
      <w:tr>
        <w:trPr>
          <w:trHeight w:hRule="exact" w:val="2942"/>
        </w:trPr>
        <w:tc>
          <w:tcPr>
            <w:tcW w:type="dxa" w:w="580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auto" w:before="68" w:after="0"/>
              <w:ind w:left="360" w:right="12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446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Platit nájemné a zálohy řádně a včas. </w:t>
            </w:r>
          </w:p>
          <w:p>
            <w:pPr>
              <w:autoSpaceDN w:val="0"/>
              <w:autoSpaceDE w:val="0"/>
              <w:widowControl/>
              <w:spacing w:line="226" w:lineRule="auto" w:before="182" w:after="0"/>
              <w:ind w:left="140" w:right="0" w:firstLine="0"/>
              <w:jc w:val="left"/>
            </w:pPr>
            <w:r>
              <w:t xml:space="preserve">[[PERSON_15]] obvyklým způsobem a udržovat jej v čistotě. </w:t>
            </w:r>
          </w:p>
          <w:p>
            <w:pPr>
              <w:autoSpaceDN w:val="0"/>
              <w:autoSpaceDE w:val="0"/>
              <w:widowControl/>
              <w:spacing w:line="228" w:lineRule="auto" w:before="180" w:after="0"/>
              <w:ind w:left="140" w:right="0" w:firstLine="0"/>
              <w:jc w:val="left"/>
            </w:pPr>
            <w:r>
              <w:t xml:space="preserve">[[PERSON_16]] závady bez zbytečného odkladu. </w:t>
            </w:r>
          </w:p>
          <w:p>
            <w:pPr>
              <w:autoSpaceDN w:val="0"/>
              <w:autoSpaceDE w:val="0"/>
              <w:widowControl/>
              <w:spacing w:line="305" w:lineRule="auto" w:before="182" w:after="0"/>
              <w:ind w:left="140" w:right="1152" w:firstLine="0"/>
              <w:jc w:val="left"/>
            </w:pPr>
            <w:r>
              <w:t xml:space="preserve">[[PERSON_17]] třetím osobám bez písemného souhlasu Pronajímatele. Dodržovat domovní řád. </w:t>
            </w:r>
          </w:p>
          <w:p>
            <w:pPr>
              <w:autoSpaceDN w:val="0"/>
              <w:autoSpaceDE w:val="0"/>
              <w:widowControl/>
              <w:spacing w:line="228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Uhradit drobné opravy a údržbu (§ 2257 OZ).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44" w:right="1378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9 Údržba a opravy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t xml:space="preserve">1.Drobné opravy (do [[AMOUNT_5]] za jednu položku) hradí Nájemce.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Větší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odstranění skrytých vad Bytu hradí Pronajímatel.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 případě, že Nájemce hradil opravu, kterou měl hradit Pronajímatel, má nárok na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proplacení doložených nákladů do 15 dnů od předložení faktury.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10 Energie a služby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6" w:lineRule="auto" w:before="226" w:after="0"/>
        <w:ind w:left="46" w:right="0" w:firstLine="0"/>
        <w:jc w:val="left"/>
      </w:pPr>
      <w:r>
        <w:t xml:space="preserve">[[PERSON_6]] zúčtování </w:t>
        <w:tab/>
        <w:t xml:space="preserve">Hradí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t xml:space="preserve">[[PERSON_7]] na [[PERSON_8]]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t xml:space="preserve">[[PERSON_9]] na [[PERSON_8]] </w:t>
      </w:r>
    </w:p>
    <w:p>
      <w:pPr>
        <w:autoSpaceDN w:val="0"/>
        <w:tabs>
          <w:tab w:pos="1686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Vodné / stočné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Topení (ústřední) 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Internet (optika) Paušálně 550 Kč/měs. Nájemce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předloží při ukončení nájmu závěrečné vyúčtování energií; přeplatky a nedoplatky </w:t>
      </w:r>
    </w:p>
    <w:p>
      <w:pPr>
        <w:autoSpaceDN w:val="0"/>
        <w:autoSpaceDE w:val="0"/>
        <w:widowControl/>
        <w:spacing w:line="228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vypořádají Smluvní strany do 30 dnů.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11 Pojištění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má sjednáno pojištění domu vč. odpovědnosti.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se zavazuje uzavřít </w:t>
      </w:r>
      <w:r>
        <w:rPr>
          <w:rFonts w:ascii="Aptos" w:hAnsi="Aptos" w:eastAsia="Aptos"/>
          <w:b/>
          <w:i w:val="0"/>
          <w:color w:val="000000"/>
          <w:sz w:val="22"/>
        </w:rPr>
        <w:t>pojištění domácnosti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minimálním pojistným plněním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t xml:space="preserve">[[AMOUNT_6]] a předložit kopii pojistné smlouvy do 14 dnů od předání Bytu. </w:t>
      </w:r>
    </w:p>
    <w:p>
      <w:pPr>
        <w:autoSpaceDN w:val="0"/>
        <w:autoSpaceDE w:val="0"/>
        <w:widowControl/>
        <w:spacing w:line="228" w:lineRule="auto" w:before="628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12 Odpovědnost za škodu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způsobenou Nájemcem, jeho domácností nebo návštěvou hradí Nájemce.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vzniklou z důvodu neodstraněného vady Bytu hradí Pronajímatel.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Porušení oznamovací povinnosti (čl. 8) zakládá povinnost Nájemce nahradit 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pronajímateli vzniklou škodu.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13 Ochrana osobních údajů (GDPR)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zpracovává osobní údaje Nájemce v rozsahu nezbytném pro plnění </w:t>
      </w:r>
    </w:p>
    <w:p>
      <w:pPr>
        <w:autoSpaceDN w:val="0"/>
        <w:autoSpaceDE w:val="0"/>
        <w:widowControl/>
        <w:spacing w:line="226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Údaje nejsou předávány třetím osobám s výjimkou správcovské společnosti a subjektů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zajišťujících vyúčtování služeb. </w:t>
      </w:r>
    </w:p>
    <w:p>
      <w:pPr>
        <w:sectPr>
          <w:pgSz w:w="11906" w:h="16838"/>
          <w:pgMar w:top="720" w:right="1420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má právo na přístup, opravu a výmaz osobních údajů dle GDPR.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30" w:after="0"/>
        <w:ind w:left="0" w:right="504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14 Ukončení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Dohodou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kdykoli, písemná forma.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2" w:after="0"/>
        <w:ind w:left="360" w:right="288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Výpověď bez výpovědní doby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při hrubém porušení smlouvy (neplacení, poškozování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bytu atd.).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/>
          <w:i w:val="0"/>
          <w:color w:val="000000"/>
          <w:sz w:val="22"/>
        </w:rPr>
        <w:t>Výpověď s výpovědní dobou 3 měsíce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ze zákonných důvodů (§ 2288 OZ).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t xml:space="preserve">4.[[PERSON_10]] po ukončení nájmu bude stvrzeno Předávacím protokolem s aktuálními </w:t>
        <w:tab/>
        <w:t xml:space="preserve">stavy měřidel a inventáře.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15 Smluvní pokuty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t xml:space="preserve">[[PERSON_11]] smluvní pokuty </w:t>
      </w:r>
    </w:p>
    <w:p>
      <w:pPr>
        <w:autoSpaceDN w:val="0"/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Prodlení s úhradou nájemného či služeb 0,05 % z dlužné částky za každý den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t xml:space="preserve">Nepovolené podnájemní užívání [[AMOUNT_7]] za každý započatý měsíc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t xml:space="preserve">[[PERSON_12]] v čas [[AMOUNT_5]] za každý den prodlení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Úhrada smluvní pokuty nezbavuje Smluvní stranu povinnosti nahradit škodu v plné výši. </w:t>
      </w:r>
    </w:p>
    <w:p>
      <w:pPr>
        <w:autoSpaceDN w:val="0"/>
        <w:autoSpaceDE w:val="0"/>
        <w:widowControl/>
        <w:spacing w:line="329" w:lineRule="auto" w:before="628" w:after="0"/>
        <w:ind w:left="360" w:right="1728" w:hanging="36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16 Závěrečná ustanovení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Tato smlouva nabývá účinnosti dnem podpisu obou Smluvních stran. </w:t>
      </w: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Smlouvu lze měnit pouze písemnými číslovanými dodatky.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Nedílnou součástí smlouvy jsou: </w:t>
      </w:r>
    </w:p>
    <w:p>
      <w:pPr>
        <w:autoSpaceDN w:val="0"/>
        <w:tabs>
          <w:tab w:pos="1440" w:val="left"/>
        </w:tabs>
        <w:autoSpaceDE w:val="0"/>
        <w:widowControl/>
        <w:spacing w:line="226" w:lineRule="auto" w:before="180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1 – Inventární list </w:t>
      </w:r>
    </w:p>
    <w:p>
      <w:pPr>
        <w:autoSpaceDN w:val="0"/>
        <w:tabs>
          <w:tab w:pos="1080" w:val="left"/>
          <w:tab w:pos="1440" w:val="left"/>
        </w:tabs>
        <w:autoSpaceDE w:val="0"/>
        <w:widowControl/>
        <w:spacing w:line="305" w:lineRule="auto" w:before="180" w:after="0"/>
        <w:ind w:left="360" w:right="2016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2 – Předávací protokol (vyplní se při předání) </w:t>
      </w: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Otázky neupravené touto smlouvou se řídí občanským zákoníkem.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5.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Smlouva je vyhotovena ve dvou stejnopisech, z nichž každá Smluvní strana obdrží jedno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vyhotovení.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6.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prohlašují, že si smlouvu přečetly, souhlasí s jejím obsahem a na důkaz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toho připojují své podpisy.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 Olomouci dne </w:t>
      </w:r>
      <w:r>
        <w:rPr>
          <w:rFonts w:ascii="Aptos" w:hAnsi="Aptos" w:eastAsia="Aptos"/>
          <w:b/>
          <w:i w:val="0"/>
          <w:color w:val="000000"/>
          <w:sz w:val="22"/>
        </w:rPr>
        <w:t>23. 5. 2025</w:t>
      </w:r>
    </w:p>
    <w:p>
      <w:pPr>
        <w:autoSpaceDN w:val="0"/>
        <w:tabs>
          <w:tab w:pos="2922" w:val="left"/>
        </w:tabs>
        <w:autoSpaceDE w:val="0"/>
        <w:widowControl/>
        <w:spacing w:line="228" w:lineRule="auto" w:before="28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</w:p>
    <w:p>
      <w:pPr>
        <w:sectPr>
          <w:pgSz w:w="11906" w:h="16838"/>
          <w:pgMar w:top="720" w:right="1420" w:bottom="9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26" w:lineRule="auto" w:before="0" w:after="0"/>
        <w:ind w:left="46" w:right="0" w:firstLine="0"/>
        <w:jc w:val="left"/>
      </w:pPr>
      <w:r>
        <w:t xml:space="preserve">[[PERSON_13]](Pronajímatel) [[PERSON_14]](Nájemce) </w:t>
      </w:r>
    </w:p>
    <w:p>
      <w:pPr>
        <w:autoSpaceDN w:val="0"/>
        <w:autoSpaceDE w:val="0"/>
        <w:widowControl/>
        <w:spacing w:line="228" w:lineRule="auto" w:before="674" w:after="168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Příloha č. 1 – Inventární list (úplná verze)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09"/>
        <w:gridCol w:w="1809"/>
        <w:gridCol w:w="1809"/>
        <w:gridCol w:w="1809"/>
        <w:gridCol w:w="1809"/>
      </w:tblGrid>
      <w:tr>
        <w:trPr>
          <w:trHeight w:hRule="exact" w:val="334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Č. Popis položky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Výrobce /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Počet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Pořiz.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18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Stav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80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17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rok </w:t>
            </w:r>
          </w:p>
        </w:tc>
        <w:tc>
          <w:tcPr>
            <w:tcW w:type="dxa" w:w="1809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2" w:val="left"/>
              </w:tabs>
              <w:autoSpaceDE w:val="0"/>
              <w:widowControl/>
              <w:spacing w:line="245" w:lineRule="auto" w:before="124" w:after="0"/>
              <w:ind w:left="26" w:right="144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Kuchyňská linka (skříňky, pracovní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deska)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Metod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 Sporák sklokeramický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ECS6B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 Vestavná trouba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BPS735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4 Lednice kombinovaná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LG GBB72S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nový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5 Myčka nádobí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Bosch SMS4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6 Pračka 6 kg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AEG L6SE26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7 Rozkládací pohovka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t xml:space="preserve">[[PERSON_18]]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8 Konferenční stolek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Möbelix Rio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0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9 Jídelní stůl + 4 židle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84" w:right="0" w:firstLine="0"/>
              <w:jc w:val="left"/>
            </w:pPr>
            <w:r>
              <w:t xml:space="preserve">[[PERSON_19]] </w:t>
            </w:r>
          </w:p>
        </w:tc>
        <w:tc>
          <w:tcPr>
            <w:tcW w:type="dxa" w:w="1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drobné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809"/>
            <w:vMerge/>
            <w:tcBorders/>
          </w:tcPr>
          <w:p/>
        </w:tc>
        <w:tc>
          <w:tcPr>
            <w:tcW w:type="dxa" w:w="3618"/>
            <w:gridSpan w:val="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oděrky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10 Postel 160 × 200 cm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MALM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5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…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</w:tr>
    </w:tbl>
    <w:p>
      <w:pPr>
        <w:autoSpaceDN w:val="0"/>
        <w:autoSpaceDE w:val="0"/>
        <w:widowControl/>
        <w:spacing w:line="245" w:lineRule="auto" w:before="16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(Inventární list pokračuje na další straně; všechny položky byly převzaty bez vad, není-li uvedeno </w:t>
      </w:r>
      <w:r>
        <w:rPr>
          <w:rFonts w:ascii="Aptos" w:hAnsi="Aptos" w:eastAsia="Aptos"/>
          <w:b w:val="0"/>
          <w:i/>
          <w:color w:val="000000"/>
          <w:sz w:val="22"/>
        </w:rPr>
        <w:t>jinak.)</w:t>
      </w:r>
    </w:p>
    <w:p>
      <w:pPr>
        <w:autoSpaceDN w:val="0"/>
        <w:autoSpaceDE w:val="0"/>
        <w:widowControl/>
        <w:spacing w:line="245" w:lineRule="auto" w:before="630" w:after="0"/>
        <w:ind w:left="0" w:right="288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Tento dokument je čistě ilustrativní („fejkový“) a není určen k reálnému právnímu úkonu.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Chcete-li smlouvu použít, nahraďte prosím osobní údaje, částky a parametry nemovitosti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skutečnými hodnotami a nechte si ji zkontrolovat právníkem. </w:t>
      </w:r>
    </w:p>
    <w:sectPr w:rsidR="00FC693F" w:rsidRPr="0006063C" w:rsidSect="00034616">
      <w:pgSz w:w="11906" w:h="16838"/>
      <w:pgMar w:top="774" w:right="142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