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sectPr>
          <w:headerReference w:type="default" r:id="rId10"/>
          <w:footerReference w:type="default" r:id="rId11"/>
          <w:headerReference w:type="first" r:id="rId12"/>
          <w:footerReference w:type="first" r:id="rId13"/>
          <w:headerReference w:type="even" r:id="rId14"/>
          <w:footerReference w:type="even" r:id="rId15"/>
          <w:pgSz w:w="11906" w:h="16838"/>
          <w:pgMar w:top="302" w:right="548" w:bottom="284" w:left="85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85339" cy="314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339" cy="31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exact" w:before="13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MONETA Money Bank, a.s.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472"/>
        <w:ind w:left="144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 xml:space="preserve">SMLOUVA O ÚVĚRU </w:t>
      </w:r>
      <w:r>
        <w:br/>
      </w:r>
      <w:r>
        <w:rPr>
          <w:rFonts w:ascii="Arial" w:hAnsi="Arial" w:eastAsia="Arial"/>
          <w:b/>
          <w:i w:val="0"/>
          <w:color w:val="000000"/>
          <w:sz w:val="30"/>
        </w:rPr>
        <w:t>Expres Business</w:t>
      </w:r>
    </w:p>
    <w:p>
      <w:pPr>
        <w:sectPr>
          <w:type w:val="nextColumn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3600" w:firstLine="0"/>
        <w:jc w:val="left"/>
      </w:pPr>
      <w:r>
        <w:t xml:space="preserve">Liberec, [[ADDRESS_1]], [[ICO_1]] zapsána u MS v Praze, oddíl B, vložka 5403 </w:t>
        <w:br/>
        <w:t>(dále jen „Banka“)</w:t>
      </w:r>
    </w:p>
    <w:p>
      <w:pPr>
        <w:autoSpaceDN w:val="0"/>
        <w:autoSpaceDE w:val="0"/>
        <w:widowControl/>
        <w:spacing w:line="190" w:lineRule="exact" w:before="2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a</w:t>
      </w:r>
    </w:p>
    <w:p>
      <w:pPr>
        <w:autoSpaceDN w:val="0"/>
        <w:autoSpaceDE w:val="0"/>
        <w:widowControl/>
        <w:spacing w:line="218" w:lineRule="exact" w:before="218" w:after="0"/>
        <w:ind w:left="0" w:right="3456" w:firstLine="0"/>
        <w:jc w:val="left"/>
      </w:pPr>
      <w:r>
        <w:t>[[PERSON_1]]</w:t>
        <w:br/>
        <w:t xml:space="preserve">[[ICO_2]] </w:t>
        <w:br/>
        <w:t xml:space="preserve">[[BIRTH_ID_1]] </w:t>
        <w:br/>
        <w:t xml:space="preserve">Adresa místa podnikání: [[ADDRESS_2]] (dále jen „Klient“) </w:t>
        <w:br/>
        <w:t>se dohodli takto:</w:t>
      </w:r>
    </w:p>
    <w:p>
      <w:pPr>
        <w:autoSpaceDN w:val="0"/>
        <w:autoSpaceDE w:val="0"/>
        <w:widowControl/>
        <w:spacing w:line="218" w:lineRule="exact" w:before="182" w:after="0"/>
        <w:ind w:left="4320" w:right="4320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>Článek I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Úvodní ustanovení</w:t>
      </w:r>
    </w:p>
    <w:p>
      <w:pPr>
        <w:autoSpaceDN w:val="0"/>
        <w:autoSpaceDE w:val="0"/>
        <w:widowControl/>
        <w:spacing w:line="218" w:lineRule="exact" w:before="10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9"/>
        </w:rPr>
        <w:t>Tato smlouva upravuje práva a povinnosti stran při poskytování úvěru Bankou Klientovi a jeho splácení Klientem Bance. Zá-</w:t>
      </w:r>
      <w:r>
        <w:rPr>
          <w:rFonts w:ascii="ArialMT" w:hAnsi="ArialMT" w:eastAsia="ArialMT"/>
          <w:b w:val="0"/>
          <w:i w:val="0"/>
          <w:color w:val="000000"/>
          <w:sz w:val="19"/>
        </w:rPr>
        <w:t>ležitosti výslovně neupravené v této smlouvě se řídí Produktovými podmínkami komerčního bankovnictví (dále jen „</w:t>
      </w:r>
      <w:r>
        <w:rPr>
          <w:rFonts w:ascii="Arial" w:hAnsi="Arial" w:eastAsia="Arial"/>
          <w:b/>
          <w:i w:val="0"/>
          <w:color w:val="000000"/>
          <w:sz w:val="19"/>
        </w:rPr>
        <w:t>PPKB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“) </w:t>
      </w:r>
      <w:r>
        <w:rPr>
          <w:rFonts w:ascii="ArialMT" w:hAnsi="ArialMT" w:eastAsia="ArialMT"/>
          <w:b w:val="0"/>
          <w:i w:val="0"/>
          <w:color w:val="000000"/>
          <w:sz w:val="19"/>
        </w:rPr>
        <w:t>a Všeobecnými produktovými podmínkami (dále jen „</w:t>
      </w:r>
      <w:r>
        <w:rPr>
          <w:rFonts w:ascii="Arial" w:hAnsi="Arial" w:eastAsia="Arial"/>
          <w:b/>
          <w:i w:val="0"/>
          <w:color w:val="000000"/>
          <w:sz w:val="19"/>
        </w:rPr>
        <w:t>Podmínky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"), které tvoří součást této smlouvy. Pojmy psané v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smlouvě s velkými počátečními písmeny, nejsou-li zde definovány jinak, mají význam, který je jim přiřazen v  PPKB nebo </w:t>
      </w:r>
      <w:r>
        <w:rPr>
          <w:rFonts w:ascii="ArialMT" w:hAnsi="ArialMT" w:eastAsia="ArialMT"/>
          <w:b w:val="0"/>
          <w:i w:val="0"/>
          <w:color w:val="000000"/>
          <w:sz w:val="19"/>
        </w:rPr>
        <w:t>v Podmínkách. Klient prohlašuje, že se seznámil s PPKB a Podmínkami, a podpisem smlouvy potvrzuje, že jim rozumí</w:t>
      </w:r>
      <w:r>
        <w:rPr>
          <w:rFonts w:ascii="ArialMT" w:hAnsi="ArialMT" w:eastAsia="ArialMT"/>
          <w:b w:val="0"/>
          <w:i w:val="0"/>
          <w:color w:val="000000"/>
          <w:sz w:val="19"/>
        </w:rPr>
        <w:t>a s jejich obsahem souhlasí.</w:t>
      </w:r>
    </w:p>
    <w:p>
      <w:pPr>
        <w:autoSpaceDN w:val="0"/>
        <w:autoSpaceDE w:val="0"/>
        <w:widowControl/>
        <w:spacing w:line="218" w:lineRule="exact" w:before="182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Podmínky úvěru</w:t>
      </w:r>
    </w:p>
    <w:p>
      <w:pPr>
        <w:autoSpaceDN w:val="0"/>
        <w:autoSpaceDE w:val="0"/>
        <w:widowControl/>
        <w:spacing w:line="190" w:lineRule="exact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 Jistina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9"/>
        </w:rPr>
        <w:t>450 000,00</w:t>
      </w:r>
      <w:r>
        <w:rPr>
          <w:rFonts w:ascii="Arial" w:hAnsi="Arial" w:eastAsia="Arial"/>
          <w:b/>
          <w:i w:val="0"/>
          <w:color w:val="000000"/>
          <w:sz w:val="19"/>
        </w:rPr>
        <w:t>Kč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(čtyřistapadesáttisíc korun českých).</w:t>
      </w:r>
    </w:p>
    <w:p>
      <w:pPr>
        <w:autoSpaceDN w:val="0"/>
        <w:autoSpaceDE w:val="0"/>
        <w:widowControl/>
        <w:spacing w:line="190" w:lineRule="exact" w:before="4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2. Roční pevná úroková sazba: 10,80 %.</w:t>
      </w:r>
    </w:p>
    <w:p>
      <w:pPr>
        <w:autoSpaceDN w:val="0"/>
        <w:tabs>
          <w:tab w:pos="228" w:val="left"/>
        </w:tabs>
        <w:autoSpaceDE w:val="0"/>
        <w:widowControl/>
        <w:spacing w:line="220" w:lineRule="exact" w:before="216" w:after="0"/>
        <w:ind w:left="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3. Čerpání úvěru: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a) Banka poskytne Klientovi peněžní prostředky bez stanovení jejich účelu a bez žádosti o čerpání úvěru.</w:t>
      </w:r>
    </w:p>
    <w:p>
      <w:pPr>
        <w:autoSpaceDN w:val="0"/>
        <w:autoSpaceDE w:val="0"/>
        <w:widowControl/>
        <w:spacing w:line="190" w:lineRule="exact" w:before="28" w:after="0"/>
        <w:ind w:left="228" w:right="0" w:firstLine="0"/>
        <w:jc w:val="left"/>
      </w:pPr>
      <w:r>
        <w:t>b) Datum čerpání úvěru může nastat nejdříve v den podpisu této smlouvy, nejpozději však [[DATE_1]].</w:t>
      </w:r>
    </w:p>
    <w:p>
      <w:pPr>
        <w:autoSpaceDN w:val="0"/>
        <w:tabs>
          <w:tab w:pos="284" w:val="left"/>
        </w:tabs>
        <w:autoSpaceDE w:val="0"/>
        <w:widowControl/>
        <w:spacing w:line="220" w:lineRule="exact" w:before="216" w:after="0"/>
        <w:ind w:left="0" w:right="345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4. Způsob splácení úvěru, smluvních úroků, úhrada pojištění (je-li sjednáno):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Anuitní způsob splácení: </w:t>
      </w:r>
      <w:r>
        <w:rPr>
          <w:rFonts w:ascii="ArialMT" w:hAnsi="ArialMT" w:eastAsia="ArialMT"/>
          <w:b w:val="0"/>
          <w:i w:val="0"/>
          <w:color w:val="000000"/>
          <w:sz w:val="19"/>
        </w:rPr>
        <w:t>Ano</w:t>
      </w:r>
    </w:p>
    <w:p>
      <w:pPr>
        <w:autoSpaceDN w:val="0"/>
        <w:autoSpaceDE w:val="0"/>
        <w:widowControl/>
        <w:spacing w:line="218" w:lineRule="exact" w:before="218" w:after="0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se zavazuje peněžní prostředky poskytnuté podle této smlouvy vrátit Bance formou </w:t>
      </w:r>
      <w:r>
        <w:rPr>
          <w:rFonts w:ascii="Arial" w:hAnsi="Arial" w:eastAsia="Arial"/>
          <w:b/>
          <w:i w:val="0"/>
          <w:color w:val="000000"/>
          <w:sz w:val="19"/>
        </w:rPr>
        <w:t>120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pravidelných měsíčních </w:t>
      </w:r>
      <w:r>
        <w:rPr>
          <w:rFonts w:ascii="ArialMT" w:hAnsi="ArialMT" w:eastAsia="ArialMT"/>
          <w:b w:val="0"/>
          <w:i w:val="0"/>
          <w:color w:val="000000"/>
          <w:sz w:val="19"/>
        </w:rPr>
        <w:t>anuitních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 splátek,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které se skládají z těchto plateb:</w:t>
      </w:r>
    </w:p>
    <w:p>
      <w:pPr>
        <w:autoSpaceDN w:val="0"/>
        <w:tabs>
          <w:tab w:pos="3400" w:val="left"/>
          <w:tab w:pos="3684" w:val="left"/>
        </w:tabs>
        <w:autoSpaceDE w:val="0"/>
        <w:widowControl/>
        <w:spacing w:line="214" w:lineRule="exact" w:before="224" w:after="0"/>
        <w:ind w:left="284" w:right="0" w:firstLine="0"/>
        <w:jc w:val="left"/>
      </w:pPr>
      <w:r>
        <w:t xml:space="preserve">Měsíční splátka jistiny a úroku: </w:t>
        <w:tab/>
        <w:tab/>
        <w:t>6 147,92 Kč</w:t>
        <w:br/>
        <w:t xml:space="preserve">Měsíční úhrada za pojištění: </w:t>
        <w:tab/>
        <w:t xml:space="preserve">Nesjednává se </w:t>
        <w:br/>
        <w:t xml:space="preserve">Měsíční splátka celkem: </w:t>
        <w:tab/>
        <w:tab/>
        <w:t>6 147,92 Kč</w:t>
        <w:br/>
        <w:t>Měsíční splátky jsou sjednány vždy k 20. dni v měsíci, první řádná splátka je splatná ke dni [[DATE_2]]. Den poslednířádné měsíční splátky je [[DATE_3]].</w:t>
      </w:r>
    </w:p>
    <w:p>
      <w:pPr>
        <w:autoSpaceDN w:val="0"/>
        <w:autoSpaceDE w:val="0"/>
        <w:widowControl/>
        <w:spacing w:line="218" w:lineRule="exact" w:before="436" w:after="0"/>
        <w:ind w:left="284" w:right="0" w:hanging="284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5. Poplatky: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je povinen platit Bance sjednané Poplatky, a to </w:t>
      </w:r>
      <w:r>
        <w:rPr>
          <w:rFonts w:ascii="Arial" w:hAnsi="Arial" w:eastAsia="Arial"/>
          <w:b/>
          <w:i w:val="0"/>
          <w:color w:val="000000"/>
          <w:sz w:val="19"/>
        </w:rPr>
        <w:t>podle této smlouvy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nebo </w:t>
      </w:r>
      <w:r>
        <w:rPr>
          <w:rFonts w:ascii="Arial" w:hAnsi="Arial" w:eastAsia="Arial"/>
          <w:b/>
          <w:i w:val="0"/>
          <w:color w:val="000000"/>
          <w:sz w:val="19"/>
        </w:rPr>
        <w:t>podle Sazebníku účinného v době</w:t>
      </w:r>
      <w:r>
        <w:rPr>
          <w:rFonts w:ascii="Arial" w:hAnsi="Arial" w:eastAsia="Arial"/>
          <w:b/>
          <w:i w:val="0"/>
          <w:color w:val="000000"/>
          <w:sz w:val="19"/>
        </w:rPr>
        <w:t>účtování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Poplatku. Banka je oprávněna i s účinky pro již sjednaná smluvní ujednání Poplatky </w:t>
      </w:r>
      <w:r>
        <w:rPr>
          <w:rFonts w:ascii="Arial" w:hAnsi="Arial" w:eastAsia="Arial"/>
          <w:b/>
          <w:i w:val="0"/>
          <w:color w:val="000000"/>
          <w:sz w:val="19"/>
        </w:rPr>
        <w:t>průběžně a jednostranně</w:t>
      </w:r>
      <w:r>
        <w:rPr>
          <w:rFonts w:ascii="Arial" w:hAnsi="Arial" w:eastAsia="Arial"/>
          <w:b/>
          <w:i w:val="0"/>
          <w:color w:val="000000"/>
          <w:sz w:val="19"/>
        </w:rPr>
        <w:t>měnit, rušit či doplňovat,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za předpokladu poskytnutí informace o změně Klientovi. Poplatky jsou účtovány ke konci </w:t>
      </w:r>
      <w:r>
        <w:rPr>
          <w:rFonts w:ascii="ArialMT" w:hAnsi="ArialMT" w:eastAsia="ArialMT"/>
          <w:b w:val="0"/>
          <w:i w:val="0"/>
          <w:color w:val="000000"/>
          <w:sz w:val="19"/>
        </w:rPr>
        <w:t>každého kalendářního měsíce, není-li sjednáno jinak.</w:t>
      </w:r>
    </w:p>
    <w:p>
      <w:pPr>
        <w:autoSpaceDN w:val="0"/>
        <w:autoSpaceDE w:val="0"/>
        <w:widowControl/>
        <w:spacing w:line="190" w:lineRule="exact" w:before="24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Měsíční Poplatek za správu úvěrového obchodu: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Nesjednává se.</w:t>
      </w:r>
    </w:p>
    <w:p>
      <w:pPr>
        <w:autoSpaceDN w:val="0"/>
        <w:autoSpaceDE w:val="0"/>
        <w:widowControl/>
        <w:spacing w:line="218" w:lineRule="exact" w:before="0" w:after="0"/>
        <w:ind w:left="284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Poplatek za předčasnou splátku/předčasné splacení úvěru z podnětu Klienta: </w:t>
      </w:r>
      <w:r>
        <w:rPr>
          <w:rFonts w:ascii="ArialMT" w:hAnsi="ArialMT" w:eastAsia="ArialMT"/>
          <w:b w:val="0"/>
          <w:i w:val="0"/>
          <w:color w:val="000000"/>
          <w:sz w:val="19"/>
        </w:rPr>
        <w:t>0,5 % z předčasně splacené jistiny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úvěru, pokud doba mezi předčasným splacením a sjednaným koncem úvěru není delší než jeden rok, a 1 %, pokud doba </w:t>
      </w:r>
      <w:r>
        <w:rPr>
          <w:rFonts w:ascii="ArialMT" w:hAnsi="ArialMT" w:eastAsia="ArialMT"/>
          <w:b w:val="0"/>
          <w:i w:val="0"/>
          <w:color w:val="000000"/>
          <w:sz w:val="19"/>
        </w:rPr>
        <w:t>mezi předčasným splacením a sjednaným koncem úvěru je delší než jeden rok.</w:t>
      </w:r>
    </w:p>
    <w:p>
      <w:pPr>
        <w:autoSpaceDN w:val="0"/>
        <w:autoSpaceDE w:val="0"/>
        <w:widowControl/>
        <w:spacing w:line="190" w:lineRule="exact" w:before="2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Poplatek za čerpání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>:</w:t>
      </w:r>
      <w:r>
        <w:rPr>
          <w:rFonts w:ascii="ArialMT" w:hAnsi="ArialMT" w:eastAsia="ArialMT"/>
          <w:b w:val="0"/>
          <w:i w:val="0"/>
          <w:color w:val="000000"/>
          <w:sz w:val="19"/>
        </w:rPr>
        <w:t>jednorázově ve výši 1295.00 Kč.</w:t>
      </w:r>
    </w:p>
    <w:p>
      <w:pPr>
        <w:autoSpaceDN w:val="0"/>
        <w:autoSpaceDE w:val="0"/>
        <w:widowControl/>
        <w:spacing w:line="190" w:lineRule="exact" w:before="580" w:after="0"/>
        <w:ind w:left="656" w:right="0" w:firstLine="0"/>
        <w:jc w:val="left"/>
      </w:pPr>
      <w:r>
        <w:t>MONETA Money Bank, a.s., [[ADDRESS_3]]. [[ICO_1]]. Zapsáno u MS v Praze, odd. B vložka 5403. AP: 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1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Ostatní ujednání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100" w:after="0"/>
        <w:ind w:left="0" w:right="0" w:firstLine="0"/>
        <w:jc w:val="left"/>
      </w:pPr>
      <w:r>
        <w:t xml:space="preserve">1. Specifikace úvěrového účtu, z něhož bude úvěr poskytnut a na který bude úvěr formou zápočtu z Běžného účtu splácen: </w:t>
        <w:tab/>
        <w:t>[[BANK_1]].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t>2. Specifikace Běžného účtu, v jehož prospěch bude provedeno čerpání úvěru a z něhož budou úvěr, smluvní úroky, Poplatky, úhrada pojištění (je-li sjednáno) případně další peněžité částky související s úvěrem formou zápočtu spláceny: [[BANK_2]]. Banka je dále oprávněna v případě prodlení se splácením provést započtení, a to podle ujednáníobsaženého v PPKB.</w:t>
      </w:r>
    </w:p>
    <w:p>
      <w:pPr>
        <w:autoSpaceDN w:val="0"/>
        <w:autoSpaceDE w:val="0"/>
        <w:widowControl/>
        <w:spacing w:line="218" w:lineRule="exact" w:before="218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je povinen zajistit na Běžném účtu uvedeném v předchozím odst. 2 této smlouvy Měsíční kreditní příjmy v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minimální výši dvou a půl násobku měsíční splátky jistiny a úroku. Do výpočtu Měsíčního kreditního příjmu nejsou </w:t>
      </w:r>
      <w:r>
        <w:rPr>
          <w:rFonts w:ascii="ArialMT" w:hAnsi="ArialMT" w:eastAsia="ArialMT"/>
          <w:b w:val="0"/>
          <w:i w:val="0"/>
          <w:color w:val="000000"/>
          <w:sz w:val="19"/>
        </w:rPr>
        <w:t>započítávány převody z jakéhokoli účtu Klienta vedeného Bankou, převody z vnitřních účtů bank, příjem z kreditních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úroků z prostředků na účtech Klienta vedených Bankou, ani příjmy od Skupiny Klienta. Při vyhodnocení plnění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podmínky jsou započítávány i Měsíční kreditní příjmy z ostatních běžných účtů Klienta vedených Bankou na IČO Klienta.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Při každém  porušení této povinnosti je Klient povinen zaplatit Bance smluvní pokutu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sjednanou v Sazebníku, která ke </w:t>
      </w:r>
      <w:r>
        <w:rPr>
          <w:rFonts w:ascii="Arial" w:hAnsi="Arial" w:eastAsia="Arial"/>
          <w:b/>
          <w:i w:val="0"/>
          <w:color w:val="000000"/>
          <w:sz w:val="19"/>
        </w:rPr>
        <w:t>dni podpisu smlouvy činí 300 Kč</w:t>
      </w:r>
      <w:r>
        <w:rPr>
          <w:rFonts w:ascii="ArialMT" w:hAnsi="ArialMT" w:eastAsia="Arial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4.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a Banka se dohodli, že k rozhodování o jakýchkoli sporech vyplývajících z této smlouvy mezi nimi je místně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příslušným Obvodní soud pro Prahu 1.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5.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má právo provést předčasné splacení celého úvěru kdykoli a předčasné splacení části úvěru až po uhrazení první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úvěru. Klienta a Banka se dohodli, že předčasné splacení lze provést v kterýkoli Pracovní den s </w:t>
      </w:r>
      <w:r>
        <w:rPr>
          <w:rFonts w:ascii="ArialMT" w:hAnsi="ArialMT" w:eastAsia="ArialMT"/>
          <w:b w:val="0"/>
          <w:i w:val="0"/>
          <w:color w:val="000000"/>
          <w:sz w:val="19"/>
        </w:rPr>
        <w:t>výjimkou toho dne v kalendářním měsíci, který se svým číslem shoduje se dnem, ke kterému jsou sjednány řádné</w:t>
      </w:r>
      <w:r>
        <w:rPr>
          <w:rFonts w:ascii="ArialMT" w:hAnsi="ArialMT" w:eastAsia="ArialMT"/>
          <w:b w:val="0"/>
          <w:i w:val="0"/>
          <w:color w:val="000000"/>
          <w:sz w:val="19"/>
        </w:rPr>
        <w:t>měsíční splátky.</w:t>
      </w:r>
    </w:p>
    <w:p>
      <w:pPr>
        <w:autoSpaceDN w:val="0"/>
        <w:tabs>
          <w:tab w:pos="5388" w:val="left"/>
        </w:tabs>
        <w:autoSpaceDE w:val="0"/>
        <w:widowControl/>
        <w:spacing w:line="190" w:lineRule="exact" w:before="1776" w:after="0"/>
        <w:ind w:left="622" w:right="0" w:firstLine="0"/>
        <w:jc w:val="left"/>
      </w:pPr>
      <w:r>
        <w:t>PŘEROV, dne [[DATE_4]] 11:31 PŘEROV, dne [[DATE_4]] 11:31</w:t>
      </w:r>
    </w:p>
    <w:p>
      <w:pPr>
        <w:autoSpaceDN w:val="0"/>
        <w:tabs>
          <w:tab w:pos="1216" w:val="left"/>
          <w:tab w:pos="2150" w:val="left"/>
          <w:tab w:pos="5728" w:val="left"/>
          <w:tab w:pos="6862" w:val="left"/>
        </w:tabs>
        <w:autoSpaceDE w:val="0"/>
        <w:widowControl/>
        <w:spacing w:line="218" w:lineRule="exact" w:before="986" w:after="0"/>
        <w:ind w:left="962" w:right="2016" w:firstLine="0"/>
        <w:jc w:val="left"/>
      </w:pPr>
      <w:r>
        <w:tab/>
        <w:tab/>
        <w:t>[[PERSON_2]]</w:t>
        <w:tab/>
        <w:tab/>
        <w:t>[[PERSON_1]]Bankéř pro živnostníky a malé firmy </w:t>
      </w:r>
    </w:p>
    <w:p>
      <w:pPr>
        <w:autoSpaceDN w:val="0"/>
        <w:autoSpaceDE w:val="0"/>
        <w:widowControl/>
        <w:spacing w:line="190" w:lineRule="exact" w:before="30" w:after="0"/>
        <w:ind w:left="156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tabs>
          <w:tab w:pos="1566" w:val="left"/>
          <w:tab w:pos="1596" w:val="left"/>
          <w:tab w:pos="2028" w:val="left"/>
        </w:tabs>
        <w:autoSpaceDE w:val="0"/>
        <w:widowControl/>
        <w:spacing w:line="220" w:lineRule="exact" w:before="1036" w:after="0"/>
        <w:ind w:left="962" w:right="6480" w:firstLine="0"/>
        <w:jc w:val="left"/>
      </w:pPr>
      <w:r>
        <w:tab/>
        <w:tab/>
        <w:tab/>
        <w:t>[[PERSON_3]]</w:t>
        <w:br/>
        <w:t xml:space="preserve">Vedoucí obchodního místa </w:t>
        <w:br/>
        <w:tab/>
        <w:t>MONETA Money Bank, a.s.</w:t>
      </w:r>
    </w:p>
    <w:p>
      <w:pPr>
        <w:autoSpaceDN w:val="0"/>
        <w:autoSpaceDE w:val="0"/>
        <w:widowControl/>
        <w:spacing w:line="190" w:lineRule="exact" w:before="4328" w:after="0"/>
        <w:ind w:left="656" w:right="0" w:firstLine="0"/>
        <w:jc w:val="left"/>
      </w:pPr>
      <w:r>
        <w:t>MONETA Money Bank, a.s., [[ADDRESS_3]]. [[ICO_1]]. Zapsáno u MS v Praze, odd. B vložka 5403. AP: 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2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sectPr w:rsidR="00FC693F" w:rsidRPr="0006063C" w:rsidSect="00034616">
      <w:pgSz w:w="11906" w:h="16838"/>
      <w:pgMar w:top="294" w:right="548" w:bottom="284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