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POŘÁDÁNÍ ŠKOLENÍ A ZPRACOVÁNÍ ÚDAJŮ ÚČASTNÍKŮ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[[PERSON_1]]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[[LICENSE_PLATE_1]]57</w:t>
      </w:r>
    </w:p>
    <w:p>
      <w:r>
        <w:t xml:space="preserve">   [[PHONE_3]]</w:t>
      </w:r>
    </w:p>
    <w:p>
      <w:r>
        <w:t xml:space="preserve">   E‑mail: [[EMAIL_2]]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Gymnázium Na Hradbách a [[PERSON_1]].</w:t>
      </w:r>
    </w:p>
    <w:p>
      <w:r>
        <w:t>2. Smlouva se uzavírá v oblasti: vzdělávání.</w:t>
      </w:r>
    </w:p>
    <w:p>
      <w:r>
        <w:t>3. Smluvní strany potvrzují, že údaje o [[PERSON_1]] budou zpracovávány pouze k účelům stanoveným v této smlouvě.</w:t>
      </w:r>
    </w:p>
    <w:p>
      <w:r>
        <w:t>4. Pro účely komunikace a doručování budou použity kontaktní údaje [[EMAIL_2]],[[PHONE_2]] a [[EMAIL_2]],[[PHONE_3]].</w:t>
      </w:r>
    </w:p>
    <w:p>
      <w:r>
        <w:t>5. V dokumentaci se vyskytují tvary jmen: „s [[PERSON_1]]“, „k [[PERSON_1]]“, „bez [[PERSON_1]]“, „[[PERSON_1]]“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Gymnázium Na Hradbách, [[ADDRESS_1]], [[ICO_1]].</w:t>
      </w:r>
    </w:p>
    <w:p>
      <w:r>
        <w:t>2. Kontaktní osoba pro ochranu údajů: [[PERSON_1]], e‑mail [[EMAIL_2]], [[PHONE_2]].</w:t>
      </w:r>
    </w:p>
    <w:p>
      <w:r>
        <w:t>3. Osobní údaje [[PERSON_1]] budou zpracovávány v rozsahu: jméno, příjmení, datum narození, rodné číslo, [[ADDRESS_3]], e‑mail [[EMAIL_2]],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[[PERSON_1]] má právo na seznam příjemců.</w:t>
      </w:r>
    </w:p>
    <w:p>
      <w:r>
        <w:t>10. V případě bezpečnostního incidentu budou subjekty údajů ([[PERSON_1]], případně [[PERSON_2]])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8339.</w:t>
      </w:r>
    </w:p>
    <w:p>
      <w:r>
        <w:t>2. Variabilní symbol: [[BIRTH_ID_2]].</w:t>
      </w:r>
    </w:p>
    <w:p>
      <w:r>
        <w:t>3. Fakturační údaje: [[PERSON_1]], [[ADDRESS_3]], IČO nebo rodné číslo dle typu plátce.</w:t>
      </w:r>
    </w:p>
    <w:p>
      <w:r>
        <w:t>4. Doručování faktur a zpráv: e‑mailem na [[EMAIL_2]] nebo [[EMAIL_2]], [[ADDRESS_4]].</w:t>
      </w:r>
    </w:p>
    <w:p>
      <w:r>
        <w:t>5. V případě platební neschopnosti může být věc předána k vymáhání; v takovém případě mohou být údaje o [[PERSON_1]] předány oprávněným subjektům.</w:t>
      </w:r>
    </w:p>
    <w:p/>
    <w:p>
      <w:r>
        <w:t>VI. PŘÍSTUPY A BEZPEČNOST</w:t>
      </w:r>
    </w:p>
    <w:p/>
    <w:p>
      <w:r>
        <w:t>1. Přístup do interního systému: uživatelské jméno dkříž,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[[PERSON_1]] je povinen zachovávat důvěrnost přístupových údajů a neprodávat je třetím osobám.</w:t>
      </w:r>
    </w:p>
    <w:p>
      <w:r>
        <w:t>4. V případě ztráty nebo zneužití má [[PERSON_1]]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[[PERSON_3]], [[DATE_3]], [[BIRTH_ID_3]], [[PHONE_4]], e‑mail [[EMAIL_3]].</w:t>
      </w:r>
    </w:p>
    <w:p>
      <w:r>
        <w:t>2. Zákonný zástupce / kontaktní osoba: [[PERSON_2]], [[DATE_4]], [[BIRTH_ID_4]], [[PHONE_5]], e‑mail [[EMAIL_4]].</w:t>
      </w:r>
    </w:p>
    <w:p>
      <w:r>
        <w:t>3. V dokumentaci se vyskytují tvary: „s [[PERSON_3]]“, „k [[PERSON_3]]“, „bez [[PERSON_3]]“, „[[PERSON_3]]“ a „s [[PERSON_2]]“, „k [[PERSON_2]]“.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WAUZZZ8V[[LICENSE_PLATE_3]]04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[[PERSON_1]]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[[PERSON_1]] informovat [[PERSON_1]] písemně nebo e‑mailem na [[EMAIL_2]].</w:t>
      </w:r>
    </w:p>
    <w:p>
      <w:r>
        <w:t>5. Poskytovatel zajistí technická a organizační opatření tak, aby nedošlo k neoprávněnému přístupu k údajům o [[PERSON_1]].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[[PERSON_1]] může být vedena e‑mailem na adresy [[EMAIL_2]] a [[EMAIL_2]];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[[PERSON_1]]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[[PERSON_1]].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[[PERSON_1]].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[[PERSON_1]] na adresu [[EMAIL_2]] nebo písemně na sídlo poskytovatele.</w:t>
      </w:r>
    </w:p>
    <w:p>
      <w:r>
        <w:t>3. V případě sporu se strany pokusí o dohodu; nedojde-li k ní, příslušný je obecný soud podle sídla odpůrce. [[ADDRESS_6]] [[ADDRESS_7]] pro [[PERSON_1]].</w:t>
      </w:r>
    </w:p>
    <w:p/>
    <w:p>
      <w:r>
        <w:t>V vzdělávání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[[PERSON_1]]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