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92"/>
        <w:ind w:left="0" w:right="0"/>
      </w:pPr>
    </w:p>
    <w:p>
      <w:pPr>
        <w:autoSpaceDN w:val="0"/>
        <w:autoSpaceDE w:val="0"/>
        <w:widowControl/>
        <w:spacing w:line="310" w:lineRule="auto" w:before="262" w:after="0"/>
        <w:ind w:left="0" w:right="144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NÁJEMNÍ SMLOUVA </w:t>
      </w:r>
      <w:r>
        <w:br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(o nájmu bytu podle § 2201 a násl. zákona č. 89/2012 Sb., občanský zákoník) </w:t>
      </w:r>
      <w:r>
        <w:br/>
      </w:r>
      <w:r>
        <w:rPr>
          <w:rFonts w:ascii="Aptos" w:hAnsi="Aptos" w:eastAsia="Aptos"/>
          <w:b w:val="0"/>
          <w:i/>
          <w:color w:val="000000"/>
          <w:sz w:val="22"/>
        </w:rPr>
        <w:t xml:space="preserve">Délka dokumentu odpovídá přibližně pěti stranám formátu A4 při běžném řádkování a velikosti </w:t>
      </w:r>
      <w:r>
        <w:rPr>
          <w:rFonts w:ascii="Aptos" w:hAnsi="Aptos" w:eastAsia="Aptos"/>
          <w:b w:val="0"/>
          <w:i/>
          <w:color w:val="000000"/>
          <w:sz w:val="22"/>
        </w:rPr>
        <w:t>písma 11–12 pt.</w:t>
      </w:r>
    </w:p>
    <w:p>
      <w:pPr>
        <w:autoSpaceDN w:val="0"/>
        <w:autoSpaceDE w:val="0"/>
        <w:widowControl/>
        <w:spacing w:line="228" w:lineRule="auto" w:before="630" w:after="166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 Smluvní strany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3015"/>
        <w:gridCol w:w="3015"/>
        <w:gridCol w:w="3015"/>
      </w:tblGrid>
      <w:tr>
        <w:trPr>
          <w:trHeight w:hRule="exact" w:val="446"/>
        </w:trPr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568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Jméno a příjmení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20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Pronajímatel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508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Nájemce </w:t>
            </w:r>
          </w:p>
        </w:tc>
      </w:tr>
      <w:tr>
        <w:trPr>
          <w:trHeight w:hRule="exact" w:val="500"/>
        </w:trPr>
        <w:tc>
          <w:tcPr>
            <w:tcW w:type="dxa" w:w="3015"/>
            <w:vMerge/>
            <w:tcBorders/>
          </w:tcPr>
          <w:p/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[[PERSON_1]]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[[PERSON_2]]</w:t>
            </w:r>
          </w:p>
        </w:tc>
      </w:tr>
      <w:tr>
        <w:trPr>
          <w:trHeight w:hRule="exact" w:val="52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Datum narození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[[DATE_7]]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[[DATE_8]] </w:t>
            </w:r>
          </w:p>
        </w:tc>
      </w:tr>
      <w:tr>
        <w:trPr>
          <w:trHeight w:hRule="exact" w:val="4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Adresa trvalého </w:t>
            </w:r>
          </w:p>
        </w:tc>
        <w:tc>
          <w:tcPr>
            <w:tcW w:type="dxa" w:w="3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>[[ADDRESS_2]]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>[[ADDRESS_3]]</w:t>
            </w:r>
          </w:p>
        </w:tc>
      </w:tr>
      <w:tr>
        <w:trPr>
          <w:trHeight w:hRule="exact" w:val="4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pobytu</w:t>
            </w:r>
          </w:p>
        </w:tc>
        <w:tc>
          <w:tcPr>
            <w:tcW w:type="dxa" w:w="3015"/>
            <w:vMerge/>
            <w:tcBorders/>
          </w:tcPr>
          <w:p/>
        </w:tc>
        <w:tc>
          <w:tcPr>
            <w:tcW w:type="dxa" w:w="3015"/>
            <w:vMerge/>
            <w:tcBorders/>
          </w:tcPr>
          <w:p/>
        </w:tc>
      </w:tr>
      <w:tr>
        <w:trPr>
          <w:trHeight w:hRule="exact" w:val="5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Číslo OP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[[BIRTH_ID_1]]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[[BIRTH_ID_2]] </w:t>
            </w:r>
          </w:p>
        </w:tc>
      </w:tr>
      <w:tr>
        <w:trPr>
          <w:trHeight w:hRule="exact" w:val="52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Bankovní účet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[[BANK_1]]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[[BANK_2]] </w:t>
            </w:r>
          </w:p>
        </w:tc>
      </w:tr>
      <w:tr>
        <w:trPr>
          <w:trHeight w:hRule="exact" w:val="400"/>
        </w:trPr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Telefon / E-mail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[[PHONE_1]] /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[[PHONE_2]] / </w:t>
            </w:r>
          </w:p>
        </w:tc>
      </w:tr>
      <w:tr>
        <w:trPr>
          <w:trHeight w:hRule="exact" w:val="342"/>
        </w:trPr>
        <w:tc>
          <w:tcPr>
            <w:tcW w:type="dxa" w:w="3015"/>
            <w:vMerge/>
            <w:tcBorders/>
          </w:tcPr>
          <w:p/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200" w:right="0" w:firstLine="0"/>
              <w:jc w:val="left"/>
            </w:pPr>
            <w:r>
              <w:rPr>
                <w:u w:val="single" w:color="467885"/>
                <w:rFonts w:ascii="Aptos" w:hAnsi="Aptos" w:eastAsia="Aptos"/>
                <w:b w:val="0"/>
                <w:i w:val="0"/>
                <w:color w:val="467886"/>
                <w:sz w:val="22"/>
              </w:rPr>
              <w:t>[[EMAIL_1]]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508" w:right="0" w:firstLine="0"/>
              <w:jc w:val="left"/>
            </w:pPr>
            <w:r>
              <w:rPr>
                <w:u w:val="single" w:color="467885"/>
                <w:rFonts w:ascii="Aptos" w:hAnsi="Aptos" w:eastAsia="Aptos"/>
                <w:b w:val="0"/>
                <w:i w:val="0"/>
                <w:color w:val="467886"/>
                <w:sz w:val="22"/>
              </w:rPr>
              <w:t>[[EMAIL_2]]</w:t>
            </w:r>
          </w:p>
        </w:tc>
      </w:tr>
    </w:tbl>
    <w:p>
      <w:pPr>
        <w:autoSpaceDN w:val="0"/>
        <w:autoSpaceDE w:val="0"/>
        <w:widowControl/>
        <w:spacing w:line="228" w:lineRule="auto" w:before="164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a Nájemce jsou dále společně označováni jako </w:t>
      </w:r>
      <w:r>
        <w:rPr>
          <w:rFonts w:ascii="Aptos" w:hAnsi="Aptos" w:eastAsia="Aptos"/>
          <w:b/>
          <w:i w:val="0"/>
          <w:color w:val="000000"/>
          <w:sz w:val="22"/>
        </w:rPr>
        <w:t>„Smluvní strany“.</w:t>
      </w:r>
    </w:p>
    <w:p>
      <w:pPr>
        <w:autoSpaceDN w:val="0"/>
        <w:tabs>
          <w:tab w:pos="360" w:val="left"/>
          <w:tab w:pos="720" w:val="left"/>
        </w:tabs>
        <w:autoSpaceDE w:val="0"/>
        <w:widowControl/>
        <w:spacing w:line="276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2 Předmět nájmu 1.Pronajímatel přenechává Nájemci do užívání bytovou jednotku č. 12 o celkové výměře 63 m² nacházející se v 2. NP domu na adrese [[ADDRESS_1]](dále jen „Byt“). </w:t>
      </w:r>
      <w:r/>
      <w:r/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  <w:r/>
      <w:r/>
      <w:r>
        <w:rPr>
          <w:rFonts w:ascii="Aptos" w:hAnsi="Aptos" w:eastAsia="Aptos"/>
          <w:b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  <w:r/>
      <w:r/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576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K Bytu náleží sklepní kóje č. 12 o výměře 3 m² a společné prostory domu (kolárna,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kočárkárna, sušárna).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Byt je vybaven movitými věcmi uvedenými v příloze č. 1 této smlouvy (Inventární list). </w:t>
      </w:r>
    </w:p>
    <w:p>
      <w:pPr>
        <w:autoSpaceDN w:val="0"/>
        <w:tabs>
          <w:tab w:pos="360" w:val="left"/>
        </w:tabs>
        <w:autoSpaceDE w:val="0"/>
        <w:widowControl/>
        <w:spacing w:line="305" w:lineRule="auto" w:before="628" w:after="0"/>
        <w:ind w:left="0" w:right="216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3 Doba nájmu 1.Nájem se sjednává na dobu určitou od [[DATE_1]] do [[DATE_2]]. </w:t>
      </w:r>
      <w:r/>
      <w:r/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45" w:lineRule="auto" w:before="180" w:after="0"/>
        <w:ind w:left="720" w:right="0" w:hanging="36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Pokud žádná ze Smluvních stran písemně neoznámí druhé straně nejpozději 2 měsíce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před uplynutím doby nájmu, že na nástavě netrvá, nájem se </w:t>
      </w:r>
      <w:r>
        <w:rPr>
          <w:rFonts w:ascii="Aptos" w:hAnsi="Aptos" w:eastAsia="Aptos"/>
          <w:b/>
          <w:i w:val="0"/>
          <w:color w:val="000000"/>
          <w:sz w:val="22"/>
        </w:rPr>
        <w:t>automaticky prodlužuje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o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další jeden rok za stejných podmínek.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 Nájemné a platební podmínky </w:t>
      </w:r>
    </w:p>
    <w:p>
      <w:pPr>
        <w:sectPr>
          <w:pgSz w:w="11906" w:h="16838"/>
          <w:pgMar w:top="814" w:right="1420" w:bottom="78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4.1 Výše nájemného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Měsíční nájemné: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14 500 Kč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Záloha na služby spojené s užíváním bytu: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3 200 Kč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Celkem měsíčně:</w:t>
      </w:r>
      <w:r>
        <w:rPr>
          <w:rFonts w:ascii="Aptos" w:hAnsi="Aptos" w:eastAsia="Aptos"/>
          <w:b/>
          <w:i w:val="0"/>
          <w:color w:val="000000"/>
          <w:sz w:val="22"/>
        </w:rPr>
        <w:t>17 700 Kč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4.2 Platební kalendář </w:t>
      </w:r>
    </w:p>
    <w:p>
      <w:pPr>
        <w:autoSpaceDN w:val="0"/>
        <w:tabs>
          <w:tab w:pos="1532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Období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Datum splatnosti Nájemné (Kč) Zálohy (Kč) Celkem (Kč) </w:t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Červen 2025 [[DATE_3]] 14 500 3 200 17 700 </w:t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tabs>
          <w:tab w:pos="3322" w:val="left"/>
          <w:tab w:pos="4716" w:val="left"/>
          <w:tab w:pos="587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Červenec 2025 [[DATE_4]] 14 500 3 200 17 700 </w:t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Květen 2026 [[DATE_5]] 14 500 3 200 17 700 </w:t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Nájemce hradí platby </w:t>
      </w:r>
      <w:r>
        <w:rPr>
          <w:rFonts w:ascii="Aptos" w:hAnsi="Aptos" w:eastAsia="Aptos"/>
          <w:b/>
          <w:i/>
          <w:color w:val="000000"/>
          <w:sz w:val="22"/>
        </w:rPr>
        <w:t>měsíčně předem</w:t>
      </w:r>
      <w:r>
        <w:rPr>
          <w:rFonts w:ascii="Aptos" w:hAnsi="Aptos" w:eastAsia="Aptos"/>
          <w:b w:val="0"/>
          <w:i/>
          <w:color w:val="000000"/>
          <w:sz w:val="22"/>
        </w:rPr>
        <w:t xml:space="preserve"> převodem na bankovní účet Pronajímatele uvedený v </w:t>
      </w:r>
    </w:p>
    <w:p>
      <w:pPr>
        <w:autoSpaceDN w:val="0"/>
        <w:autoSpaceDE w:val="0"/>
        <w:widowControl/>
        <w:spacing w:line="228" w:lineRule="auto" w:before="18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>čl. 1.</w:t>
      </w:r>
    </w:p>
    <w:p>
      <w:pPr>
        <w:autoSpaceDN w:val="0"/>
        <w:autoSpaceDE w:val="0"/>
        <w:widowControl/>
        <w:spacing w:line="226" w:lineRule="auto" w:before="22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Za den úhrady se považuje den připsání částky na účet Pronajímatele. </w:t>
      </w:r>
    </w:p>
    <w:p>
      <w:pPr>
        <w:autoSpaceDN w:val="0"/>
        <w:autoSpaceDE w:val="0"/>
        <w:widowControl/>
        <w:spacing w:line="228" w:lineRule="auto" w:before="63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5 Jistota (kauce)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Při podpisu smlouvy skládá Nájemce Pronajímateli </w:t>
      </w:r>
      <w:r>
        <w:rPr>
          <w:rFonts w:ascii="Aptos" w:hAnsi="Aptos" w:eastAsia="Aptos"/>
          <w:b/>
          <w:i w:val="0"/>
          <w:color w:val="000000"/>
          <w:sz w:val="22"/>
        </w:rPr>
        <w:t>kauci ve výši 35 400 Kč</w:t>
      </w:r>
    </w:p>
    <w:p>
      <w:pPr>
        <w:autoSpaceDN w:val="0"/>
        <w:autoSpaceDE w:val="0"/>
        <w:widowControl/>
        <w:spacing w:line="228" w:lineRule="auto" w:before="18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(dvojnásobek měsíčního nájemného vč. služeb).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je oprávněn započíst na kauci: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78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nezaplacené nájemné nebo služby,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82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náhradu škody na Bytu či vybavení,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78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pokuty.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Nevyčerpanou část kauce vrátí Pronajímatel Nájemci do 30 dnů od předání Bytu.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 Předání a převzetí Bytu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6.1 Protokol o předání </w:t>
      </w:r>
    </w:p>
    <w:p>
      <w:pPr>
        <w:autoSpaceDN w:val="0"/>
        <w:autoSpaceDE w:val="0"/>
        <w:widowControl/>
        <w:spacing w:line="228" w:lineRule="auto" w:before="178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strany sepisují </w:t>
      </w:r>
      <w:r>
        <w:rPr>
          <w:rFonts w:ascii="Aptos" w:hAnsi="Aptos" w:eastAsia="Aptos"/>
          <w:b/>
          <w:i w:val="0"/>
          <w:color w:val="000000"/>
          <w:sz w:val="22"/>
        </w:rPr>
        <w:t>Předávací protokol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, který obsahuje: </w:t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Položka Stav k [[DATE_1]] </w:t>
      </w:r>
      <w:r/>
      <w:r>
        <w:rPr>
          <w:rFonts w:ascii="Aptos" w:hAnsi="Aptos" w:eastAsia="Aptos"/>
          <w:b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Vodoměr – studená voda 00428 m³ </w:t>
      </w:r>
    </w:p>
    <w:p>
      <w:pPr>
        <w:autoSpaceDN w:val="0"/>
        <w:tabs>
          <w:tab w:pos="24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Vodoměr – teplá voda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00216 m³ </w:t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Elektroměr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032 412 kWh </w:t>
      </w:r>
    </w:p>
    <w:p>
      <w:pPr>
        <w:sectPr>
          <w:pgSz w:w="11906" w:h="16838"/>
          <w:pgMar w:top="720" w:right="1420" w:bottom="100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tabs>
          <w:tab w:pos="2440" w:val="left"/>
        </w:tabs>
        <w:autoSpaceDE w:val="0"/>
        <w:widowControl/>
        <w:spacing w:line="226" w:lineRule="auto" w:before="0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Položka Stav k [[DATE_1]] </w:t>
      </w:r>
      <w:r/>
      <w:r>
        <w:rPr>
          <w:rFonts w:ascii="Aptos" w:hAnsi="Aptos" w:eastAsia="Aptos"/>
          <w:b/>
          <w:i w:val="0"/>
          <w:color w:val="000000"/>
          <w:sz w:val="22"/>
        </w:rPr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Plynoměr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001 125 m³ </w:t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6.2 Inventární list (výběr) </w:t>
      </w:r>
    </w:p>
    <w:p>
      <w:pPr>
        <w:autoSpaceDN w:val="0"/>
        <w:tabs>
          <w:tab w:pos="3132" w:val="left"/>
        </w:tabs>
        <w:autoSpaceDE w:val="0"/>
        <w:widowControl/>
        <w:spacing w:line="226" w:lineRule="auto" w:before="228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Č. Popis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Počet ks Stav </w:t>
      </w:r>
    </w:p>
    <w:p>
      <w:pPr>
        <w:autoSpaceDN w:val="0"/>
        <w:tabs>
          <w:tab w:pos="40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1 Kuchyňská linka + spotřebiče 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2 Lednice 200 l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nový 2023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3 Pračka 6 kg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4 Postel dvoulůžko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5 Šatní skříň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2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drobné oděrky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… 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</w:p>
    <w:p>
      <w:pPr>
        <w:autoSpaceDN w:val="0"/>
        <w:autoSpaceDE w:val="0"/>
        <w:widowControl/>
        <w:spacing w:line="228" w:lineRule="auto" w:before="226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Podrobný inventář tvoří </w:t>
      </w:r>
      <w:r>
        <w:rPr>
          <w:rFonts w:ascii="Aptos" w:hAnsi="Aptos" w:eastAsia="Aptos"/>
          <w:b/>
          <w:i w:val="0"/>
          <w:color w:val="000000"/>
          <w:sz w:val="22"/>
        </w:rPr>
        <w:t>přílohu č. 1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a je nedílnou součástí této smlouvy.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7 Práva a povinnosti Pronajímatele </w:t>
      </w:r>
    </w:p>
    <w:p>
      <w:pPr>
        <w:autoSpaceDN w:val="0"/>
        <w:autoSpaceDE w:val="0"/>
        <w:widowControl/>
        <w:spacing w:line="228" w:lineRule="auto" w:before="178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se zavazuje zejména: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Předat Byt ve stavu způsobilém k řádnému užívání.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Zajišťovat a hradit běžnou údržbu domu a společných částí.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Odstraňovat </w:t>
      </w:r>
      <w:r>
        <w:rPr>
          <w:rFonts w:ascii="Aptos" w:hAnsi="Aptos" w:eastAsia="Aptos"/>
          <w:b/>
          <w:i w:val="0"/>
          <w:color w:val="000000"/>
          <w:sz w:val="22"/>
        </w:rPr>
        <w:t>zásadní závady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Bytu (porucha stupačky, havárie elektroinstalace apod.) do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48 hodin od nahlášení. </w:t>
      </w:r>
    </w:p>
    <w:p>
      <w:pPr>
        <w:autoSpaceDN w:val="0"/>
        <w:autoSpaceDE w:val="0"/>
        <w:widowControl/>
        <w:spacing w:line="226" w:lineRule="auto" w:before="180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Respektovat soukromí Nájemce; vstup do Bytu je možný pouze po předchozí dohodě, </w:t>
      </w:r>
    </w:p>
    <w:p>
      <w:pPr>
        <w:autoSpaceDN w:val="0"/>
        <w:autoSpaceDE w:val="0"/>
        <w:widowControl/>
        <w:spacing w:line="228" w:lineRule="auto" w:before="22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není-li nutný okamžitý zásah při havárii.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8 Práva a povinnosti Nájemce </w:t>
      </w:r>
    </w:p>
    <w:p>
      <w:pPr>
        <w:autoSpaceDN w:val="0"/>
        <w:autoSpaceDE w:val="0"/>
        <w:widowControl/>
        <w:spacing w:line="226" w:lineRule="auto" w:before="180" w:after="12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je povinen zejména: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44"/>
        <w:gridCol w:w="4544"/>
      </w:tblGrid>
      <w:tr>
        <w:trPr>
          <w:trHeight w:hRule="exact" w:val="2942"/>
        </w:trPr>
        <w:tc>
          <w:tcPr>
            <w:tcW w:type="dxa" w:w="580"/>
            <w:tcBorders>
              <w:bottom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auto" w:before="68" w:after="0"/>
              <w:ind w:left="360" w:right="128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8446"/>
            <w:tcBorders>
              <w:bottom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60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Platit nájemné a zálohy řádně a včas. </w:t>
            </w:r>
          </w:p>
          <w:p>
            <w:pPr>
              <w:autoSpaceDN w:val="0"/>
              <w:autoSpaceDE w:val="0"/>
              <w:widowControl/>
              <w:spacing w:line="226" w:lineRule="auto" w:before="182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Užívat Byt obvyklým způsobem a udržovat jej v čistotě. </w:t>
            </w:r>
          </w:p>
          <w:p>
            <w:pPr>
              <w:autoSpaceDN w:val="0"/>
              <w:autoSpaceDE w:val="0"/>
              <w:widowControl/>
              <w:spacing w:line="228" w:lineRule="auto" w:before="180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Hlásit Pronajímateli závady bez zbytečného odkladu. </w:t>
            </w:r>
          </w:p>
          <w:p>
            <w:pPr>
              <w:autoSpaceDN w:val="0"/>
              <w:autoSpaceDE w:val="0"/>
              <w:widowControl/>
              <w:spacing w:line="305" w:lineRule="auto" w:before="182" w:after="0"/>
              <w:ind w:left="140" w:right="1152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Nepřenechávat Byt třetím osobám bez písemného souhlasu Pronajímatele.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Dodržovat domovní řád. </w:t>
            </w:r>
          </w:p>
          <w:p>
            <w:pPr>
              <w:autoSpaceDN w:val="0"/>
              <w:autoSpaceDE w:val="0"/>
              <w:widowControl/>
              <w:spacing w:line="228" w:lineRule="auto" w:before="182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Uhradit drobné opravy a údržbu (§ 2257 OZ).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744" w:right="1378" w:bottom="9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9 Údržba a opravy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/>
          <w:i w:val="0"/>
          <w:color w:val="000000"/>
          <w:sz w:val="22"/>
        </w:rPr>
        <w:t>Drobné opravy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(do 1 000 Kč za jednu položku) hradí Nájemce.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/>
          <w:i w:val="0"/>
          <w:color w:val="000000"/>
          <w:sz w:val="22"/>
        </w:rPr>
        <w:t>Větší opravy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a odstranění skrytých vad Bytu hradí Pronajímatel.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V případě, že Nájemce hradil opravu, kterou měl hradit Pronajímatel, má nárok na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proplacení doložených nákladů do 15 dnů od předložení faktury.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10 Energie a služby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6" w:lineRule="auto" w:before="226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Služba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Způsob zúčtování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Hradí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Elektřina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Přepis na Nájemce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Plyn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Přepis na Nájemce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</w:t>
      </w:r>
    </w:p>
    <w:p>
      <w:pPr>
        <w:autoSpaceDN w:val="0"/>
        <w:tabs>
          <w:tab w:pos="1686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Vodné / stočné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Roční vyúčtování SVJ Pronajímatel → předpis záloh Nájemci </w:t>
      </w:r>
    </w:p>
    <w:p>
      <w:pPr>
        <w:autoSpaceDN w:val="0"/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Topení (ústřední) Roční vyúčtování SVJ Pronajímatel → předpis záloh Nájemci </w:t>
      </w:r>
    </w:p>
    <w:p>
      <w:pPr>
        <w:autoSpaceDN w:val="0"/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Internet (optika) Paušálně 550 Kč/měs. Nájemce </w:t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předloží při ukončení nájmu závěrečné vyúčtování energií; přeplatky a nedoplatky </w:t>
      </w:r>
    </w:p>
    <w:p>
      <w:pPr>
        <w:autoSpaceDN w:val="0"/>
        <w:autoSpaceDE w:val="0"/>
        <w:widowControl/>
        <w:spacing w:line="228" w:lineRule="auto" w:before="22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vypořádají Smluvní strany do 30 dnů.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11 Pojištění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má sjednáno pojištění domu vč. odpovědnosti.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se zavazuje uzavřít </w:t>
      </w:r>
      <w:r>
        <w:rPr>
          <w:rFonts w:ascii="Aptos" w:hAnsi="Aptos" w:eastAsia="Aptos"/>
          <w:b/>
          <w:i w:val="0"/>
          <w:color w:val="000000"/>
          <w:sz w:val="22"/>
        </w:rPr>
        <w:t>pojištění domácnosti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s minimálním pojistným plněním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300 000 Kč a předložit kopii pojistné smlouvy do 14 dnů od předání Bytu. </w:t>
      </w:r>
    </w:p>
    <w:p>
      <w:pPr>
        <w:autoSpaceDN w:val="0"/>
        <w:autoSpaceDE w:val="0"/>
        <w:widowControl/>
        <w:spacing w:line="228" w:lineRule="auto" w:before="628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12 Odpovědnost za škodu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Škodu způsobenou Nájemcem, jeho domácností nebo návštěvou hradí Nájemce.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Škodu vzniklou z důvodu neodstraněného vady Bytu hradí Pronajímatel.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Porušení oznamovací povinnosti (čl. 8) zakládá povinnost Nájemce nahradit </w:t>
      </w:r>
    </w:p>
    <w:p>
      <w:pPr>
        <w:autoSpaceDN w:val="0"/>
        <w:autoSpaceDE w:val="0"/>
        <w:widowControl/>
        <w:spacing w:line="228" w:lineRule="auto" w:before="18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pronajímateli vzniklou škodu.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13 Ochrana osobních údajů (GDPR)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zpracovává osobní údaje Nájemce v rozsahu nezbytném pro plnění </w:t>
      </w:r>
    </w:p>
    <w:p>
      <w:pPr>
        <w:autoSpaceDN w:val="0"/>
        <w:autoSpaceDE w:val="0"/>
        <w:widowControl/>
        <w:spacing w:line="226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smlouvy.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Údaje nejsou předávány třetím osobám s výjimkou správcovské společnosti a subjektů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zajišťujících vyúčtování služeb. </w:t>
      </w:r>
    </w:p>
    <w:p>
      <w:pPr>
        <w:sectPr>
          <w:pgSz w:w="11906" w:h="16838"/>
          <w:pgMar w:top="720" w:right="1420" w:bottom="8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má právo na přístup, opravu a výmaz osobních údajů dle GDPR. </w:t>
      </w:r>
    </w:p>
    <w:p>
      <w:pPr>
        <w:autoSpaceDN w:val="0"/>
        <w:tabs>
          <w:tab w:pos="360" w:val="left"/>
        </w:tabs>
        <w:autoSpaceDE w:val="0"/>
        <w:widowControl/>
        <w:spacing w:line="305" w:lineRule="auto" w:before="630" w:after="0"/>
        <w:ind w:left="0" w:right="504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14 Ukončení nájmu </w:t>
      </w:r>
      <w:r>
        <w:br/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/>
          <w:i w:val="0"/>
          <w:color w:val="000000"/>
          <w:sz w:val="22"/>
        </w:rPr>
        <w:t>Dohodou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kdykoli, písemná forma.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2" w:after="0"/>
        <w:ind w:left="360" w:right="288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/>
          <w:i w:val="0"/>
          <w:color w:val="000000"/>
          <w:sz w:val="22"/>
        </w:rPr>
        <w:t>Výpověď bez výpovědní doby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při hrubém porušení smlouvy (neplacení, poškozování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bytu atd.).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/>
          <w:i w:val="0"/>
          <w:color w:val="000000"/>
          <w:sz w:val="22"/>
        </w:rPr>
        <w:t>Výpověď s výpovědní dobou 3 měsíce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ze zákonných důvodů (§ 2288 OZ).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144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Převzetí Bytu po ukončení nájmu bude stvrzeno </w:t>
      </w:r>
      <w:r>
        <w:rPr>
          <w:rFonts w:ascii="Aptos" w:hAnsi="Aptos" w:eastAsia="Aptos"/>
          <w:b/>
          <w:i w:val="0"/>
          <w:color w:val="000000"/>
          <w:sz w:val="22"/>
        </w:rPr>
        <w:t>Předávacím protokolem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s aktuálními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stavy měřidel a inventáře.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15 Smluvní pokuty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Porušení </w:t>
      </w:r>
      <w:r>
        <w:rPr>
          <w:rFonts w:ascii="Aptos" w:hAnsi="Aptos" w:eastAsia="Aptos"/>
          <w:b/>
          <w:i w:val="0"/>
          <w:color w:val="000000"/>
          <w:sz w:val="22"/>
        </w:rPr>
        <w:t xml:space="preserve">Výše smluvní pokuty </w:t>
      </w:r>
    </w:p>
    <w:p>
      <w:pPr>
        <w:autoSpaceDN w:val="0"/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Prodlení s úhradou nájemného či služeb 0,05 % z dlužné částky za každý den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Nepovolené podnájemní užívání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5 000 Kč za každý započatý měsíc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Nepředání Bytu v čas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1 000 Kč za každý den prodlení </w:t>
      </w:r>
    </w:p>
    <w:p>
      <w:pPr>
        <w:autoSpaceDN w:val="0"/>
        <w:autoSpaceDE w:val="0"/>
        <w:widowControl/>
        <w:spacing w:line="228" w:lineRule="auto" w:before="226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Úhrada smluvní pokuty nezbavuje Smluvní stranu povinnosti nahradit škodu v plné výši. </w:t>
      </w:r>
    </w:p>
    <w:p>
      <w:pPr>
        <w:autoSpaceDN w:val="0"/>
        <w:autoSpaceDE w:val="0"/>
        <w:widowControl/>
        <w:spacing w:line="329" w:lineRule="auto" w:before="628" w:after="0"/>
        <w:ind w:left="360" w:right="1728" w:hanging="36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16 Závěrečná ustanovení </w:t>
      </w:r>
      <w:r>
        <w:br/>
      </w: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Tato smlouva nabývá účinnosti dnem podpisu obou Smluvních stran. </w:t>
      </w: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Smlouvu lze měnit pouze písemnými číslovanými dodatky.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Nedílnou součástí smlouvy jsou: </w:t>
      </w:r>
    </w:p>
    <w:p>
      <w:pPr>
        <w:autoSpaceDN w:val="0"/>
        <w:tabs>
          <w:tab w:pos="1440" w:val="left"/>
        </w:tabs>
        <w:autoSpaceDE w:val="0"/>
        <w:widowControl/>
        <w:spacing w:line="226" w:lineRule="auto" w:before="180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Příloha č. 1 – Inventární list </w:t>
      </w:r>
    </w:p>
    <w:p>
      <w:pPr>
        <w:autoSpaceDN w:val="0"/>
        <w:tabs>
          <w:tab w:pos="1080" w:val="left"/>
          <w:tab w:pos="1440" w:val="left"/>
        </w:tabs>
        <w:autoSpaceDE w:val="0"/>
        <w:widowControl/>
        <w:spacing w:line="305" w:lineRule="auto" w:before="180" w:after="0"/>
        <w:ind w:left="360" w:right="2016" w:firstLine="0"/>
        <w:jc w:val="left"/>
      </w:pPr>
      <w:r>
        <w:tab/>
      </w: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Příloha č. 2 – Předávací protokol (vyplní se při předání) </w:t>
      </w: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Otázky neupravené touto smlouvou se řídí občanským zákoníkem.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5.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Smlouva je vyhotovena ve dvou stejnopisech, z nichž každá Smluvní strana obdrží jedno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vyhotovení.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144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6.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strany prohlašují, že si smlouvu přečetly, souhlasí s jejím obsahem a na důkaz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toho připojují své podpisy.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V Olomouci dne [[DATE_6]]</w:t>
      </w:r>
      <w:r>
        <w:rPr>
          <w:rFonts w:ascii="Aptos" w:hAnsi="Aptos" w:eastAsia="Aptos"/>
          <w:b/>
          <w:i w:val="0"/>
          <w:color w:val="000000"/>
          <w:sz w:val="22"/>
        </w:rPr>
      </w:r>
    </w:p>
    <w:p>
      <w:pPr>
        <w:autoSpaceDN w:val="0"/>
        <w:tabs>
          <w:tab w:pos="2922" w:val="left"/>
        </w:tabs>
        <w:autoSpaceDE w:val="0"/>
        <w:widowControl/>
        <w:spacing w:line="228" w:lineRule="auto" w:before="28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>……………………………………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……………………………………</w:t>
      </w:r>
    </w:p>
    <w:p>
      <w:pPr>
        <w:sectPr>
          <w:pgSz w:w="11906" w:h="16838"/>
          <w:pgMar w:top="720" w:right="1420" w:bottom="95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52"/>
        <w:ind w:left="0" w:right="0"/>
      </w:pPr>
    </w:p>
    <w:p>
      <w:pPr>
        <w:autoSpaceDN w:val="0"/>
        <w:autoSpaceDE w:val="0"/>
        <w:widowControl/>
        <w:spacing w:line="226" w:lineRule="auto" w:before="0" w:after="0"/>
        <w:ind w:left="46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[[PERSON_1]](Pronajímatel) [[PERSON_2]](Nájemce) </w:t>
      </w:r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 w:val="0"/>
          <w:i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28" w:lineRule="auto" w:before="674" w:after="168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Příloha č. 1 – Inventární list (úplná verze)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809"/>
        <w:gridCol w:w="1809"/>
        <w:gridCol w:w="1809"/>
        <w:gridCol w:w="1809"/>
        <w:gridCol w:w="1809"/>
      </w:tblGrid>
      <w:tr>
        <w:trPr>
          <w:trHeight w:hRule="exact" w:val="334"/>
        </w:trPr>
        <w:tc>
          <w:tcPr>
            <w:tcW w:type="dxa" w:w="3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Č. Popis položky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284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Výrobce / </w:t>
            </w:r>
          </w:p>
        </w:tc>
        <w:tc>
          <w:tcPr>
            <w:tcW w:type="dxa" w:w="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0" w:right="0" w:firstLine="0"/>
              <w:jc w:val="center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Počet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0" w:right="0" w:firstLine="0"/>
              <w:jc w:val="center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Pořiz. </w:t>
            </w:r>
          </w:p>
        </w:tc>
        <w:tc>
          <w:tcPr>
            <w:tcW w:type="dxa" w:w="1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18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Stav </w:t>
            </w:r>
          </w:p>
        </w:tc>
      </w:tr>
      <w:tr>
        <w:trPr>
          <w:trHeight w:hRule="exact" w:val="400"/>
        </w:trPr>
        <w:tc>
          <w:tcPr>
            <w:tcW w:type="dxa" w:w="1809"/>
            <w:vMerge/>
            <w:tcBorders/>
          </w:tcPr>
          <w:p/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4" w:after="0"/>
              <w:ind w:left="284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model </w:t>
            </w:r>
          </w:p>
        </w:tc>
        <w:tc>
          <w:tcPr>
            <w:tcW w:type="dxa" w:w="1809"/>
            <w:vMerge/>
            <w:tcBorders/>
          </w:tcPr>
          <w:p/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4" w:after="0"/>
              <w:ind w:left="17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rok </w:t>
            </w:r>
          </w:p>
        </w:tc>
        <w:tc>
          <w:tcPr>
            <w:tcW w:type="dxa" w:w="1809"/>
            <w:vMerge/>
            <w:tcBorders/>
          </w:tcPr>
          <w:p/>
        </w:tc>
      </w:tr>
      <w:tr>
        <w:trPr>
          <w:trHeight w:hRule="exact" w:val="8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22" w:val="left"/>
              </w:tabs>
              <w:autoSpaceDE w:val="0"/>
              <w:widowControl/>
              <w:spacing w:line="245" w:lineRule="auto" w:before="124" w:after="0"/>
              <w:ind w:left="26" w:right="144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Kuchyňská linka (skříňky, pracovní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deska)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IKEA Metod </w:t>
            </w:r>
          </w:p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souprava 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 Sporák sklokeramický </w:t>
            </w:r>
          </w:p>
        </w:tc>
        <w:tc>
          <w:tcPr>
            <w:tcW w:type="dxa" w:w="2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Gorenje ECS6B 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3 Vestavná trouba </w:t>
            </w:r>
          </w:p>
        </w:tc>
        <w:tc>
          <w:tcPr>
            <w:tcW w:type="dxa" w:w="2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Gorenje BPS735 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4 Lednice kombinovaná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LG GBB72S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2023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nový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5 Myčka nádobí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Bosch SMS4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2022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6 Pračka 6 kg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AEG L6SE26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2020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7 Rozkládací pohovka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Jena Dominik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2022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8 Konferenční stolek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Möbelix Rio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2020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400"/>
        </w:trPr>
        <w:tc>
          <w:tcPr>
            <w:tcW w:type="dxa" w:w="3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9 Jídelní stůl + 4 židle </w:t>
            </w:r>
          </w:p>
        </w:tc>
        <w:tc>
          <w:tcPr>
            <w:tcW w:type="dxa" w:w="1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Sconto Bolton </w:t>
            </w:r>
          </w:p>
        </w:tc>
        <w:tc>
          <w:tcPr>
            <w:tcW w:type="dxa" w:w="18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souprava 2019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drobné </w:t>
            </w:r>
          </w:p>
        </w:tc>
      </w:tr>
      <w:tr>
        <w:trPr>
          <w:trHeight w:hRule="exact" w:val="400"/>
        </w:trPr>
        <w:tc>
          <w:tcPr>
            <w:tcW w:type="dxa" w:w="1809"/>
            <w:vMerge/>
            <w:tcBorders/>
          </w:tcPr>
          <w:p/>
        </w:tc>
        <w:tc>
          <w:tcPr>
            <w:tcW w:type="dxa" w:w="1809"/>
            <w:vMerge/>
            <w:tcBorders/>
          </w:tcPr>
          <w:p/>
        </w:tc>
        <w:tc>
          <w:tcPr>
            <w:tcW w:type="dxa" w:w="3618"/>
            <w:gridSpan w:val="2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oděrky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10 Postel 160 × 200 cm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IKEA MALM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2019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45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…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</w:tr>
    </w:tbl>
    <w:p>
      <w:pPr>
        <w:autoSpaceDN w:val="0"/>
        <w:autoSpaceDE w:val="0"/>
        <w:widowControl/>
        <w:spacing w:line="245" w:lineRule="auto" w:before="168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(Inventární list pokračuje na další straně; všechny položky byly převzaty bez vad, není-li uvedeno </w:t>
      </w:r>
      <w:r>
        <w:rPr>
          <w:rFonts w:ascii="Aptos" w:hAnsi="Aptos" w:eastAsia="Aptos"/>
          <w:b w:val="0"/>
          <w:i/>
          <w:color w:val="000000"/>
          <w:sz w:val="22"/>
        </w:rPr>
        <w:t>jinak.)</w:t>
      </w:r>
    </w:p>
    <w:p>
      <w:pPr>
        <w:autoSpaceDN w:val="0"/>
        <w:autoSpaceDE w:val="0"/>
        <w:widowControl/>
        <w:spacing w:line="245" w:lineRule="auto" w:before="630" w:after="0"/>
        <w:ind w:left="0" w:right="288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Tento dokument je čistě ilustrativní („fejkový“) a není určen k reálnému právnímu úkonu.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Chcete-li smlouvu použít, nahraďte prosím osobní údaje, částky a parametry nemovitosti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skutečnými hodnotami a nechte si ji zkontrolovat právníkem. </w:t>
      </w:r>
    </w:p>
    <w:sectPr w:rsidR="00FC693F" w:rsidRPr="0006063C" w:rsidSect="00034616">
      <w:pgSz w:w="11906" w:h="16838"/>
      <w:pgMar w:top="774" w:right="142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