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[[PERSON_5]]“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„s [[PERSON_6]]“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„u [[PERSON_7]]“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„od [[PERSON_8]]“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[[PERSON_9]]“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„k [[PERSON_10]]“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„s [[PERSON_11]]“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 [[PERSON_12]]“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„k [[PERSON_13]]“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„s [[PERSON_14]]“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„u [[PERSON_15]]“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„o [[PERSON_17]]“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„k [[PERSON_18]]“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„u [[PERSON_19]]“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„pro [[PERSON_20]]“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„s [[PERSON_22]]“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„k [[PERSON_23]]“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[[PERSON_25]]“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„pro [[PERSON_26]]“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„o [[PERSON_30]]“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„u [[PERSON_31]]“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„k [[PERSON_32]]“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„se [[PERSON_33]]“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„u [[PERSON_34]]“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[[PERSON_35]]“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[[PERSON_37]]“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[[PERSON_39]]“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„od [[PERSON_40]]“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„u [[PERSON_42]]“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[[PERSON_43]]“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„k [[PERSON_44]]“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>
        <w:t>[[ADDRESS_2]]. zn. 33 C 221/2024,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[[PERSON_25]] či [[PERSON_45]].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[[PERSON_29]] (ve výpovědi označen jako „svědek [[PERSON_29]]“),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[[PERSON_13]] („vyjádření [[PERSON_13]]“),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[[PERSON_32]],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[[PERSON_31]],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[[PERSON_11]],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[[PERSON_35]],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[[PERSON_30]].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[[PERSON_15]], [[PERSON_19]] a [[PERSON_43]].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5.2 API klíče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 w:rsidRPr="003E1407">
        <w:t>API klíč ERP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[[PERSON_44]]),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(„výslech [[PERSON_41]]“),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(„výpověď [[PERSON_38]]“),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[[PERSON_34]] („záznam o výslechu [[PERSON_34]]“),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[[PERSON_18]] („výslech [[PERSON_18]]“).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>
        <w:t>prof. RNDr. Igor a [[PERSON_23]], Ph.D.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[[PERSON_30]]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[[PERSON_25]]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[[PERSON_8]]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[[PERSON_20]], [[PERSON_39]] nebo [[PERSON_27]].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[[PERSON_40]],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[[PERSON_45]],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[[PERSON_10]].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