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"/>
        <w:ind w:left="0" w:right="0"/>
      </w:pPr>
    </w:p>
    <w:p>
      <w:pPr>
        <w:sectPr>
          <w:pgSz w:w="11906" w:h="16838"/>
          <w:pgMar w:top="302" w:right="548" w:bottom="284" w:left="850" w:header="720" w:footer="720" w:gutter="0"/>
          <w:cols w:space="720"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2085339" cy="3149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339" cy="31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0" w:lineRule="exact" w:before="1324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MONETA Money Bank, a.s.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322" w:lineRule="exact" w:before="0" w:after="472"/>
        <w:ind w:left="144" w:right="3744" w:firstLine="0"/>
        <w:jc w:val="center"/>
      </w:pPr>
      <w:r>
        <w:rPr>
          <w:rFonts w:ascii="Arial" w:hAnsi="Arial" w:eastAsia="Arial"/>
          <w:b/>
          <w:i w:val="0"/>
          <w:color w:val="000000"/>
          <w:sz w:val="30"/>
        </w:rPr>
        <w:t xml:space="preserve">SMLOUVA O ÚVĚRU </w:t>
      </w:r>
      <w:r>
        <w:br/>
      </w:r>
      <w:r>
        <w:rPr>
          <w:rFonts w:ascii="Arial" w:hAnsi="Arial" w:eastAsia="Arial"/>
          <w:b/>
          <w:i w:val="0"/>
          <w:color w:val="000000"/>
          <w:sz w:val="30"/>
        </w:rPr>
        <w:t>Expres Business</w:t>
      </w:r>
    </w:p>
    <w:p>
      <w:pPr>
        <w:sectPr>
          <w:type w:val="nextColumn"/>
          <w:pgSz w:w="11906" w:h="16838"/>
          <w:pgMar w:top="302" w:right="548" w:bottom="284" w:left="850" w:header="720" w:footer="720" w:gutter="0"/>
          <w:cols w:num="2" w:equalWidth="0">
            <w:col w:w="3534" w:space="0"/>
            <w:col w:w="697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0" w:right="3600" w:firstLine="0"/>
        <w:jc w:val="left"/>
      </w:pPr>
      <w:r>
        <w:t xml:space="preserve">Praha 4 - Michle, Vyskočilova 1442/1b, 140 28, Česká republika, IČO: 25672720 zapsána u MS v Praze, oddíl B, vložka 5403 </w:t>
        <w:br/>
        <w:t>(dále jen „Banka“)</w:t>
      </w:r>
    </w:p>
    <w:p>
      <w:pPr>
        <w:autoSpaceDN w:val="0"/>
        <w:autoSpaceDE w:val="0"/>
        <w:widowControl/>
        <w:spacing w:line="190" w:lineRule="exact" w:before="248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a</w:t>
      </w:r>
    </w:p>
    <w:p>
      <w:pPr>
        <w:autoSpaceDN w:val="0"/>
        <w:autoSpaceDE w:val="0"/>
        <w:widowControl/>
        <w:spacing w:line="218" w:lineRule="exact" w:before="218" w:after="0"/>
        <w:ind w:left="0" w:right="3456" w:firstLine="0"/>
        <w:jc w:val="left"/>
      </w:pPr>
      <w:r>
        <w:t>Zuzana Zímová</w:t>
        <w:br/>
        <w:t xml:space="preserve">IČO: 08837279 </w:t>
        <w:br/>
        <w:t xml:space="preserve">Rodné číslo: 9151245785 </w:t>
        <w:br/>
        <w:t xml:space="preserve">Adresa místa podnikání: nám. Kosmonautů 899/2, 789 85 Mohelnice (dále jen „Klient“) </w:t>
        <w:br/>
        <w:t>se dohodli takto:</w:t>
      </w:r>
    </w:p>
    <w:p>
      <w:pPr>
        <w:autoSpaceDN w:val="0"/>
        <w:autoSpaceDE w:val="0"/>
        <w:widowControl/>
        <w:spacing w:line="218" w:lineRule="exact" w:before="182" w:after="0"/>
        <w:ind w:left="4320" w:right="4320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>Článek I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Úvodní ustanovení</w:t>
      </w:r>
    </w:p>
    <w:p>
      <w:pPr>
        <w:autoSpaceDN w:val="0"/>
        <w:autoSpaceDE w:val="0"/>
        <w:widowControl/>
        <w:spacing w:line="218" w:lineRule="exact" w:before="100" w:after="0"/>
        <w:ind w:left="0" w:right="20" w:firstLine="0"/>
        <w:jc w:val="both"/>
      </w:pPr>
      <w:r>
        <w:rPr>
          <w:rFonts w:ascii="ArialMT" w:hAnsi="ArialMT" w:eastAsia="ArialMT"/>
          <w:b w:val="0"/>
          <w:i w:val="0"/>
          <w:color w:val="000000"/>
          <w:sz w:val="19"/>
        </w:rPr>
        <w:t>Tato smlouva upravuje práva a povinnosti stran při poskytování úvěru Bankou Klientovi a jeho splácení Klientem Bance. Zá-</w:t>
      </w:r>
      <w:r>
        <w:rPr>
          <w:rFonts w:ascii="ArialMT" w:hAnsi="ArialMT" w:eastAsia="ArialMT"/>
          <w:b w:val="0"/>
          <w:i w:val="0"/>
          <w:color w:val="000000"/>
          <w:sz w:val="19"/>
        </w:rPr>
        <w:t>ležitosti výslovně neupravené v této smlouvě se řídí Produktovými podmínkami komerčního bankovnictví (dále jen „</w:t>
      </w:r>
      <w:r>
        <w:rPr>
          <w:rFonts w:ascii="Arial" w:hAnsi="Arial" w:eastAsia="Arial"/>
          <w:b/>
          <w:i w:val="0"/>
          <w:color w:val="000000"/>
          <w:sz w:val="19"/>
        </w:rPr>
        <w:t>PPKB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“) </w:t>
      </w:r>
      <w:r>
        <w:rPr>
          <w:rFonts w:ascii="ArialMT" w:hAnsi="ArialMT" w:eastAsia="ArialMT"/>
          <w:b w:val="0"/>
          <w:i w:val="0"/>
          <w:color w:val="000000"/>
          <w:sz w:val="19"/>
        </w:rPr>
        <w:t>a Všeobecnými produktovými podmínkami (dále jen „</w:t>
      </w:r>
      <w:r>
        <w:rPr>
          <w:rFonts w:ascii="Arial" w:hAnsi="Arial" w:eastAsia="Arial"/>
          <w:b/>
          <w:i w:val="0"/>
          <w:color w:val="000000"/>
          <w:sz w:val="19"/>
        </w:rPr>
        <w:t>Podmínky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"), které tvoří součást této smlouvy. Pojmy psané v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smlouvě s velkými počátečními písmeny, nejsou-li zde definovány jinak, mají význam, který je jim přiřazen v  PPKB nebo </w:t>
      </w:r>
      <w:r>
        <w:rPr>
          <w:rFonts w:ascii="ArialMT" w:hAnsi="ArialMT" w:eastAsia="ArialMT"/>
          <w:b w:val="0"/>
          <w:i w:val="0"/>
          <w:color w:val="000000"/>
          <w:sz w:val="19"/>
        </w:rPr>
        <w:t>v Podmínkách. Klient prohlašuje, že se seznámil s PPKB a Podmínkami, a podpisem smlouvy potvrzuje, že jim rozumí</w:t>
      </w:r>
      <w:r>
        <w:rPr>
          <w:rFonts w:ascii="ArialMT" w:hAnsi="ArialMT" w:eastAsia="ArialMT"/>
          <w:b w:val="0"/>
          <w:i w:val="0"/>
          <w:color w:val="000000"/>
          <w:sz w:val="19"/>
        </w:rPr>
        <w:t>a s jejich obsahem souhlasí.</w:t>
      </w:r>
    </w:p>
    <w:p>
      <w:pPr>
        <w:autoSpaceDN w:val="0"/>
        <w:autoSpaceDE w:val="0"/>
        <w:widowControl/>
        <w:spacing w:line="218" w:lineRule="exact" w:before="182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Podmínky úvěru</w:t>
      </w:r>
    </w:p>
    <w:p>
      <w:pPr>
        <w:autoSpaceDN w:val="0"/>
        <w:autoSpaceDE w:val="0"/>
        <w:widowControl/>
        <w:spacing w:line="190" w:lineRule="exact" w:before="12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 Jistina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: </w:t>
      </w:r>
      <w:r>
        <w:rPr>
          <w:rFonts w:ascii="Arial" w:hAnsi="Arial" w:eastAsia="Arial"/>
          <w:b/>
          <w:i w:val="0"/>
          <w:color w:val="000000"/>
          <w:sz w:val="19"/>
        </w:rPr>
        <w:t>450 000,00</w:t>
      </w:r>
      <w:r>
        <w:rPr>
          <w:rFonts w:ascii="Arial" w:hAnsi="Arial" w:eastAsia="Arial"/>
          <w:b/>
          <w:i w:val="0"/>
          <w:color w:val="000000"/>
          <w:sz w:val="19"/>
        </w:rPr>
        <w:t>Kč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(čtyřistapadesáttisíc korun českých).</w:t>
      </w:r>
    </w:p>
    <w:p>
      <w:pPr>
        <w:autoSpaceDN w:val="0"/>
        <w:autoSpaceDE w:val="0"/>
        <w:widowControl/>
        <w:spacing w:line="190" w:lineRule="exact" w:before="46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2. Roční pevná úroková sazba: 10,80 %.</w:t>
      </w:r>
    </w:p>
    <w:p>
      <w:pPr>
        <w:autoSpaceDN w:val="0"/>
        <w:tabs>
          <w:tab w:pos="228" w:val="left"/>
        </w:tabs>
        <w:autoSpaceDE w:val="0"/>
        <w:widowControl/>
        <w:spacing w:line="220" w:lineRule="exact" w:before="216" w:after="0"/>
        <w:ind w:left="0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3. Čerpání úvěru: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>a) Banka poskytne Klientovi peněžní prostředky bez stanovení jejich účelu a bez žádosti o čerpání úvěru.</w:t>
      </w:r>
    </w:p>
    <w:p>
      <w:pPr>
        <w:autoSpaceDN w:val="0"/>
        <w:autoSpaceDE w:val="0"/>
        <w:widowControl/>
        <w:spacing w:line="190" w:lineRule="exact" w:before="28" w:after="0"/>
        <w:ind w:left="22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b) Datum čerpání úvěru může nastat nejdříve v den podpisu této smlouvy, nejpozději však </w:t>
      </w:r>
      <w:r>
        <w:rPr>
          <w:rFonts w:ascii="Arial" w:hAnsi="Arial" w:eastAsia="Arial"/>
          <w:b/>
          <w:i w:val="0"/>
          <w:color w:val="000000"/>
          <w:sz w:val="19"/>
        </w:rPr>
        <w:t>16.07.2022.</w:t>
      </w:r>
    </w:p>
    <w:p>
      <w:pPr>
        <w:autoSpaceDN w:val="0"/>
        <w:tabs>
          <w:tab w:pos="284" w:val="left"/>
        </w:tabs>
        <w:autoSpaceDE w:val="0"/>
        <w:widowControl/>
        <w:spacing w:line="220" w:lineRule="exact" w:before="216" w:after="0"/>
        <w:ind w:left="0" w:right="3456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4. Způsob splácení úvěru, smluvních úroků, úhrada pojištění (je-li sjednáno):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Anuitní způsob splácení: </w:t>
      </w:r>
      <w:r>
        <w:rPr>
          <w:rFonts w:ascii="ArialMT" w:hAnsi="ArialMT" w:eastAsia="ArialMT"/>
          <w:b w:val="0"/>
          <w:i w:val="0"/>
          <w:color w:val="000000"/>
          <w:sz w:val="19"/>
        </w:rPr>
        <w:t>Ano</w:t>
      </w:r>
    </w:p>
    <w:p>
      <w:pPr>
        <w:autoSpaceDN w:val="0"/>
        <w:autoSpaceDE w:val="0"/>
        <w:widowControl/>
        <w:spacing w:line="218" w:lineRule="exact" w:before="218" w:after="0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se zavazuje peněžní prostředky poskytnuté podle této smlouvy vrátit Bance formou </w:t>
      </w:r>
      <w:r>
        <w:rPr>
          <w:rFonts w:ascii="Arial" w:hAnsi="Arial" w:eastAsia="Arial"/>
          <w:b/>
          <w:i w:val="0"/>
          <w:color w:val="000000"/>
          <w:sz w:val="19"/>
        </w:rPr>
        <w:t>120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pravidelných měsíčních </w:t>
      </w:r>
      <w:r>
        <w:rPr>
          <w:rFonts w:ascii="ArialMT" w:hAnsi="ArialMT" w:eastAsia="ArialMT"/>
          <w:b w:val="0"/>
          <w:i w:val="0"/>
          <w:color w:val="000000"/>
          <w:sz w:val="19"/>
        </w:rPr>
        <w:t>anuitních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 splátek,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které se skládají z těchto plateb:</w:t>
      </w:r>
    </w:p>
    <w:p>
      <w:pPr>
        <w:autoSpaceDN w:val="0"/>
        <w:tabs>
          <w:tab w:pos="3400" w:val="left"/>
          <w:tab w:pos="3684" w:val="left"/>
        </w:tabs>
        <w:autoSpaceDE w:val="0"/>
        <w:widowControl/>
        <w:spacing w:line="214" w:lineRule="exact" w:before="224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jistiny a úroku: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úhrada za pojištění: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 xml:space="preserve">Nesjednává se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splátka celkem: </w:t>
      </w:r>
      <w:r>
        <w:tab/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6 147,92 Kč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 xml:space="preserve">Měsíční splátky jsou sjednány vždy k 20. dni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 měsíci, první řádná splátka je splatná ke dni 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20.07.2022. </w:t>
      </w:r>
      <w:r>
        <w:rPr>
          <w:rFonts w:ascii="ArialMT" w:hAnsi="ArialMT" w:eastAsia="ArialMT"/>
          <w:b w:val="0"/>
          <w:i w:val="0"/>
          <w:color w:val="000000"/>
          <w:sz w:val="19"/>
        </w:rPr>
        <w:t>Den poslední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je </w:t>
      </w:r>
      <w:r>
        <w:rPr>
          <w:rFonts w:ascii="Arial" w:hAnsi="Arial" w:eastAsia="Arial"/>
          <w:b/>
          <w:i w:val="0"/>
          <w:color w:val="000000"/>
          <w:sz w:val="19"/>
        </w:rPr>
        <w:t>20.06.2032.</w:t>
      </w:r>
    </w:p>
    <w:p>
      <w:pPr>
        <w:autoSpaceDN w:val="0"/>
        <w:autoSpaceDE w:val="0"/>
        <w:widowControl/>
        <w:spacing w:line="218" w:lineRule="exact" w:before="436" w:after="0"/>
        <w:ind w:left="284" w:right="0" w:hanging="284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5. Poplatky: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Klient je povinen platit Bance sjednané Poplatky, a to </w:t>
      </w:r>
      <w:r>
        <w:rPr>
          <w:rFonts w:ascii="Arial" w:hAnsi="Arial" w:eastAsia="Arial"/>
          <w:b/>
          <w:i w:val="0"/>
          <w:color w:val="000000"/>
          <w:sz w:val="19"/>
        </w:rPr>
        <w:t>podle této smlouvy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nebo </w:t>
      </w:r>
      <w:r>
        <w:rPr>
          <w:rFonts w:ascii="Arial" w:hAnsi="Arial" w:eastAsia="Arial"/>
          <w:b/>
          <w:i w:val="0"/>
          <w:color w:val="000000"/>
          <w:sz w:val="19"/>
        </w:rPr>
        <w:t>podle Sazebníku účinného v době</w:t>
      </w:r>
      <w:r>
        <w:rPr>
          <w:rFonts w:ascii="Arial" w:hAnsi="Arial" w:eastAsia="Arial"/>
          <w:b/>
          <w:i w:val="0"/>
          <w:color w:val="000000"/>
          <w:sz w:val="19"/>
        </w:rPr>
        <w:t>účtování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Poplatku. Banka je oprávněna i s účinky pro již sjednaná smluvní ujednání Poplatky </w:t>
      </w:r>
      <w:r>
        <w:rPr>
          <w:rFonts w:ascii="Arial" w:hAnsi="Arial" w:eastAsia="Arial"/>
          <w:b/>
          <w:i w:val="0"/>
          <w:color w:val="000000"/>
          <w:sz w:val="19"/>
        </w:rPr>
        <w:t>průběžně a jednostranně</w:t>
      </w:r>
      <w:r>
        <w:rPr>
          <w:rFonts w:ascii="Arial" w:hAnsi="Arial" w:eastAsia="Arial"/>
          <w:b/>
          <w:i w:val="0"/>
          <w:color w:val="000000"/>
          <w:sz w:val="19"/>
        </w:rPr>
        <w:t>měnit, rušit či doplňovat,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za předpokladu poskytnutí informace o změně Klientovi. Poplatky jsou účtovány ke konci </w:t>
      </w:r>
      <w:r>
        <w:rPr>
          <w:rFonts w:ascii="ArialMT" w:hAnsi="ArialMT" w:eastAsia="ArialMT"/>
          <w:b w:val="0"/>
          <w:i w:val="0"/>
          <w:color w:val="000000"/>
          <w:sz w:val="19"/>
        </w:rPr>
        <w:t>každého kalendářního měsíce, není-li sjednáno jinak.</w:t>
      </w:r>
    </w:p>
    <w:p>
      <w:pPr>
        <w:autoSpaceDN w:val="0"/>
        <w:autoSpaceDE w:val="0"/>
        <w:widowControl/>
        <w:spacing w:line="190" w:lineRule="exact" w:before="24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Měsíční Poplatek za správu úvěrového obchodu: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Nesjednává se.</w:t>
      </w:r>
    </w:p>
    <w:p>
      <w:pPr>
        <w:autoSpaceDN w:val="0"/>
        <w:autoSpaceDE w:val="0"/>
        <w:widowControl/>
        <w:spacing w:line="218" w:lineRule="exact" w:before="0" w:after="0"/>
        <w:ind w:left="284" w:right="20" w:firstLine="0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Poplatek za předčasnou splátku/předčasné splacení úvěru z podnětu Klienta: </w:t>
      </w:r>
      <w:r>
        <w:rPr>
          <w:rFonts w:ascii="ArialMT" w:hAnsi="ArialMT" w:eastAsia="ArialMT"/>
          <w:b w:val="0"/>
          <w:i w:val="0"/>
          <w:color w:val="000000"/>
          <w:sz w:val="19"/>
        </w:rPr>
        <w:t>0,5 % z předčasně splacené jistiny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úvěru, pokud doba mezi předčasným splacením a sjednaným koncem úvěru není delší než jeden rok, a 1 %, pokud doba </w:t>
      </w:r>
      <w:r>
        <w:rPr>
          <w:rFonts w:ascii="ArialMT" w:hAnsi="ArialMT" w:eastAsia="ArialMT"/>
          <w:b w:val="0"/>
          <w:i w:val="0"/>
          <w:color w:val="000000"/>
          <w:sz w:val="19"/>
        </w:rPr>
        <w:t>mezi předčasným splacením a sjednaným koncem úvěru je delší než jeden rok.</w:t>
      </w:r>
    </w:p>
    <w:p>
      <w:pPr>
        <w:autoSpaceDN w:val="0"/>
        <w:autoSpaceDE w:val="0"/>
        <w:widowControl/>
        <w:spacing w:line="190" w:lineRule="exact" w:before="28" w:after="0"/>
        <w:ind w:left="28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Poplatek za čerpání úvěru</w:t>
      </w:r>
      <w:r>
        <w:rPr>
          <w:rFonts w:ascii="ArialMT" w:hAnsi="ArialMT" w:eastAsia="ArialMT"/>
          <w:b w:val="0"/>
          <w:i w:val="0"/>
          <w:color w:val="000000"/>
          <w:sz w:val="19"/>
        </w:rPr>
        <w:t>:</w:t>
      </w:r>
      <w:r>
        <w:rPr>
          <w:rFonts w:ascii="ArialMT" w:hAnsi="ArialMT" w:eastAsia="ArialMT"/>
          <w:b w:val="0"/>
          <w:i w:val="0"/>
          <w:color w:val="000000"/>
          <w:sz w:val="19"/>
        </w:rPr>
        <w:t>jednorázově ve výši 1295.00 Kč.</w:t>
      </w:r>
    </w:p>
    <w:p>
      <w:pPr>
        <w:autoSpaceDN w:val="0"/>
        <w:autoSpaceDE w:val="0"/>
        <w:widowControl/>
        <w:spacing w:line="190" w:lineRule="exact" w:before="580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1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p>
      <w:pPr>
        <w:sectPr>
          <w:type w:val="continuous"/>
          <w:pgSz w:w="11906" w:h="16838"/>
          <w:pgMar w:top="302" w:right="548" w:bottom="284" w:left="8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4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4464" w:right="4464" w:firstLine="0"/>
        <w:jc w:val="center"/>
      </w:pPr>
      <w:r>
        <w:rPr>
          <w:rFonts w:ascii="Arial" w:hAnsi="Arial" w:eastAsia="Arial"/>
          <w:b/>
          <w:i w:val="0"/>
          <w:color w:val="000000"/>
          <w:sz w:val="19"/>
        </w:rPr>
        <w:t xml:space="preserve">Článek III </w:t>
      </w:r>
      <w:r>
        <w:br/>
      </w:r>
      <w:r>
        <w:rPr>
          <w:rFonts w:ascii="Arial" w:hAnsi="Arial" w:eastAsia="Arial"/>
          <w:b/>
          <w:i w:val="0"/>
          <w:color w:val="000000"/>
          <w:sz w:val="19"/>
        </w:rPr>
        <w:t>Ostatní ujednání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10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1.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úvěrového účtu, z něhož bude úvěr poskytnut a na který bude úvěr formou zápočtu z Běžného účtu splácen: </w:t>
      </w:r>
      <w:r>
        <w:tab/>
      </w:r>
      <w:r>
        <w:rPr>
          <w:rFonts w:ascii="Arial" w:hAnsi="Arial" w:eastAsia="Arial"/>
          <w:b/>
          <w:i w:val="0"/>
          <w:color w:val="000000"/>
          <w:sz w:val="19"/>
        </w:rPr>
        <w:t>248868540/0600.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2.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Specifikace Běžného účtu, v jehož prospěch bude provedeno čerpání úvěru a z něhož budou úvěr, smluvní úroky,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Poplatky, úhrada pojištění (je-li sjednáno) případně další peněžité částky související s úvěrem formou zápočtu spláceny: </w:t>
      </w:r>
      <w:r>
        <w:rPr>
          <w:rFonts w:ascii="Arial" w:hAnsi="Arial" w:eastAsia="Arial"/>
          <w:b/>
          <w:i w:val="0"/>
          <w:color w:val="000000"/>
          <w:sz w:val="19"/>
        </w:rPr>
        <w:t>388888885/0600</w:t>
      </w:r>
      <w:r>
        <w:rPr>
          <w:rFonts w:ascii="ArialMT" w:hAnsi="ArialMT" w:eastAsia="ArialMT"/>
          <w:b w:val="0"/>
          <w:i w:val="0"/>
          <w:color w:val="000000"/>
          <w:sz w:val="19"/>
        </w:rPr>
        <w:t>. Banka je dále oprávněna v případě prodlení se splácením provést započtení, a to podle ujednání</w:t>
      </w:r>
      <w:r>
        <w:rPr>
          <w:rFonts w:ascii="ArialMT" w:hAnsi="ArialMT" w:eastAsia="ArialMT"/>
          <w:b w:val="0"/>
          <w:i w:val="0"/>
          <w:color w:val="000000"/>
          <w:sz w:val="19"/>
        </w:rPr>
        <w:t>obsaženého v PPKB.</w:t>
      </w:r>
    </w:p>
    <w:p>
      <w:pPr>
        <w:autoSpaceDN w:val="0"/>
        <w:autoSpaceDE w:val="0"/>
        <w:widowControl/>
        <w:spacing w:line="218" w:lineRule="exact" w:before="218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je povinen zajistit na Běžném účtu uvedeném v předchozím odst. 2 této smlouvy Měsíční kreditní příjmy v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minimální výši dvou a půl násobku měsíční splátky jistiny a úroku. Do výpočtu Měsíčního kreditního příjmu nejsou </w:t>
      </w:r>
      <w:r>
        <w:rPr>
          <w:rFonts w:ascii="ArialMT" w:hAnsi="ArialMT" w:eastAsia="ArialMT"/>
          <w:b w:val="0"/>
          <w:i w:val="0"/>
          <w:color w:val="000000"/>
          <w:sz w:val="19"/>
        </w:rPr>
        <w:t>započítávány převody z jakéhokoli účtu Klienta vedeného Bankou, převody z vnitřních účtů bank, příjem z kreditních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úroků z prostředků na účtech Klienta vedených Bankou, ani příjmy od Skupiny Klienta. Při vyhodnocení plnění této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podmínky jsou započítávány i Měsíční kreditní příjmy z ostatních běžných účtů Klienta vedených Bankou na IČO Klienta.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Při každém  porušení této povinnosti je Klient povinen zaplatit Bance smluvní pokutu</w:t>
      </w:r>
      <w:r>
        <w:rPr>
          <w:rFonts w:ascii="Arial" w:hAnsi="Arial" w:eastAsia="Arial"/>
          <w:b/>
          <w:i w:val="0"/>
          <w:color w:val="000000"/>
          <w:sz w:val="19"/>
        </w:rPr>
        <w:t xml:space="preserve"> sjednanou v Sazebníku, která ke </w:t>
      </w:r>
      <w:r>
        <w:rPr>
          <w:rFonts w:ascii="Arial" w:hAnsi="Arial" w:eastAsia="Arial"/>
          <w:b/>
          <w:i w:val="0"/>
          <w:color w:val="000000"/>
          <w:sz w:val="19"/>
        </w:rPr>
        <w:t>dni podpisu smlouvy činí 300 Kč</w:t>
      </w:r>
      <w:r>
        <w:rPr>
          <w:rFonts w:ascii="ArialMT" w:hAnsi="ArialMT" w:eastAsia="ArialMT"/>
          <w:b w:val="0"/>
          <w:i w:val="0"/>
          <w:color w:val="000000"/>
          <w:sz w:val="19"/>
        </w:rPr>
        <w:t>.</w:t>
      </w:r>
    </w:p>
    <w:p>
      <w:pPr>
        <w:autoSpaceDN w:val="0"/>
        <w:tabs>
          <w:tab w:pos="284" w:val="left"/>
        </w:tabs>
        <w:autoSpaceDE w:val="0"/>
        <w:widowControl/>
        <w:spacing w:line="218" w:lineRule="exact" w:before="218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9"/>
        </w:rPr>
        <w:t>4.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a Banka se dohodli, že k rozhodování o jakýchkoli sporech vyplývajících z této smlouvy mezi nimi je místně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příslušným Obvodní soud pro Prahu 1.</w:t>
      </w:r>
    </w:p>
    <w:p>
      <w:pPr>
        <w:autoSpaceDN w:val="0"/>
        <w:autoSpaceDE w:val="0"/>
        <w:widowControl/>
        <w:spacing w:line="218" w:lineRule="exact" w:before="220" w:after="0"/>
        <w:ind w:left="284" w:right="20" w:hanging="284"/>
        <w:jc w:val="both"/>
      </w:pPr>
      <w:r>
        <w:rPr>
          <w:rFonts w:ascii="Arial" w:hAnsi="Arial" w:eastAsia="Arial"/>
          <w:b/>
          <w:i w:val="0"/>
          <w:color w:val="000000"/>
          <w:sz w:val="19"/>
        </w:rPr>
        <w:t>5.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Klient má právo provést předčasné splacení celého úvěru kdykoli a předčasné splacení části úvěru až po uhrazení první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řádné měsíční splátky úvěru. Klienta a Banka se dohodli, že předčasné splacení lze provést v kterýkoli Pracovní den s </w:t>
      </w:r>
      <w:r>
        <w:rPr>
          <w:rFonts w:ascii="ArialMT" w:hAnsi="ArialMT" w:eastAsia="ArialMT"/>
          <w:b w:val="0"/>
          <w:i w:val="0"/>
          <w:color w:val="000000"/>
          <w:sz w:val="19"/>
        </w:rPr>
        <w:t>výjimkou toho dne v kalendářním měsíci, který se svým číslem shoduje se dnem, ke kterému jsou sjednány řádné</w:t>
      </w:r>
      <w:r>
        <w:rPr>
          <w:rFonts w:ascii="ArialMT" w:hAnsi="ArialMT" w:eastAsia="ArialMT"/>
          <w:b w:val="0"/>
          <w:i w:val="0"/>
          <w:color w:val="000000"/>
          <w:sz w:val="19"/>
        </w:rPr>
        <w:t>měsíční splátky.</w:t>
      </w:r>
    </w:p>
    <w:p>
      <w:pPr>
        <w:autoSpaceDN w:val="0"/>
        <w:tabs>
          <w:tab w:pos="5388" w:val="left"/>
        </w:tabs>
        <w:autoSpaceDE w:val="0"/>
        <w:widowControl/>
        <w:spacing w:line="190" w:lineRule="exact" w:before="1776" w:after="0"/>
        <w:ind w:left="62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PŘEROV, dne 16.06.2022 11:31 </w:t>
      </w:r>
      <w:r>
        <w:rPr>
          <w:rFonts w:ascii="ArialMT" w:hAnsi="ArialMT" w:eastAsia="ArialMT"/>
          <w:b w:val="0"/>
          <w:i w:val="0"/>
          <w:color w:val="000000"/>
          <w:sz w:val="19"/>
        </w:rPr>
        <w:t>PŘEROV, dne 16.06.2022 11:31</w:t>
      </w:r>
    </w:p>
    <w:p>
      <w:pPr>
        <w:autoSpaceDN w:val="0"/>
        <w:tabs>
          <w:tab w:pos="1216" w:val="left"/>
          <w:tab w:pos="2150" w:val="left"/>
          <w:tab w:pos="5728" w:val="left"/>
          <w:tab w:pos="6862" w:val="left"/>
        </w:tabs>
        <w:autoSpaceDE w:val="0"/>
        <w:widowControl/>
        <w:spacing w:line="218" w:lineRule="exact" w:before="986" w:after="0"/>
        <w:ind w:left="962" w:right="2016" w:firstLine="0"/>
        <w:jc w:val="left"/>
      </w:pP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Anna Reková</w:t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ZUZANA ZÍMOVÁ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id=100`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Bankéř pro živnostníky a malé firmy </w:t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>`sig, id=1`</w:t>
      </w:r>
    </w:p>
    <w:p>
      <w:pPr>
        <w:autoSpaceDN w:val="0"/>
        <w:autoSpaceDE w:val="0"/>
        <w:widowControl/>
        <w:spacing w:line="190" w:lineRule="exact" w:before="30" w:after="0"/>
        <w:ind w:left="156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tabs>
          <w:tab w:pos="1566" w:val="left"/>
          <w:tab w:pos="1596" w:val="left"/>
          <w:tab w:pos="2028" w:val="left"/>
        </w:tabs>
        <w:autoSpaceDE w:val="0"/>
        <w:widowControl/>
        <w:spacing w:line="220" w:lineRule="exact" w:before="1036" w:after="0"/>
        <w:ind w:left="962" w:right="6480" w:firstLine="0"/>
        <w:jc w:val="left"/>
      </w:pPr>
      <w:r>
        <w:tab/>
      </w:r>
      <w:r>
        <w:tab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Helena Oherová</w:t>
      </w:r>
      <w:r>
        <w:br/>
      </w:r>
      <w:r>
        <w:rPr>
          <w:w w:val="97.46794104576111"/>
          <w:rFonts w:ascii="ArialMT" w:hAnsi="ArialMT" w:eastAsia="ArialMT"/>
          <w:b w:val="0"/>
          <w:i w:val="0"/>
          <w:color w:val="FFFFFF"/>
          <w:sz w:val="16"/>
        </w:rPr>
        <w:t xml:space="preserve">`sig, id=101` 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Vedoucí obchodního místa </w:t>
      </w:r>
      <w:r>
        <w:br/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MONETA Money Bank, a.s.</w:t>
      </w:r>
    </w:p>
    <w:p>
      <w:pPr>
        <w:autoSpaceDN w:val="0"/>
        <w:autoSpaceDE w:val="0"/>
        <w:widowControl/>
        <w:spacing w:line="190" w:lineRule="exact" w:before="4328" w:after="0"/>
        <w:ind w:left="656" w:right="0" w:firstLine="0"/>
        <w:jc w:val="left"/>
      </w:pPr>
      <w:r>
        <w:rPr>
          <w:w w:val="98.3418083190918"/>
          <w:rFonts w:ascii="ArialMT" w:hAnsi="ArialMT" w:eastAsia="ArialMT"/>
          <w:b w:val="0"/>
          <w:i w:val="0"/>
          <w:color w:val="000000"/>
          <w:sz w:val="15"/>
        </w:rPr>
        <w:t>MONETA Money Bank, a.s., Vyskočilova 1442/1b, 140 28 Praha 4 - Michle. IČO 25672720. Zapsáno u MS v Praze, odd. B vložka 5403.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 AP: </w:t>
      </w:r>
      <w:r>
        <w:rPr>
          <w:rFonts w:ascii="Arial" w:hAnsi="Arial" w:eastAsia="Arial"/>
          <w:b/>
          <w:i w:val="0"/>
          <w:color w:val="000000"/>
          <w:sz w:val="19"/>
        </w:rPr>
        <w:t>220613N2EB</w:t>
      </w:r>
    </w:p>
    <w:p>
      <w:pPr>
        <w:autoSpaceDN w:val="0"/>
        <w:tabs>
          <w:tab w:pos="6540" w:val="left"/>
          <w:tab w:pos="10084" w:val="left"/>
        </w:tabs>
        <w:autoSpaceDE w:val="0"/>
        <w:widowControl/>
        <w:spacing w:line="228" w:lineRule="exact" w:before="60" w:after="0"/>
        <w:ind w:left="506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2 / 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9"/>
        </w:rPr>
        <w:t>EB_nezajištěný_</w:t>
      </w:r>
      <w:r>
        <w:rPr>
          <w:rFonts w:ascii="Arial" w:hAnsi="Arial" w:eastAsia="Arial"/>
          <w:b/>
          <w:i w:val="0"/>
          <w:color w:val="000000"/>
          <w:sz w:val="19"/>
        </w:rPr>
        <w:t>9003284482</w:t>
      </w:r>
      <w:r>
        <w:rPr>
          <w:rFonts w:ascii="ArialMT" w:hAnsi="ArialMT" w:eastAsia="ArialMT"/>
          <w:b w:val="0"/>
          <w:i w:val="0"/>
          <w:color w:val="000000"/>
          <w:sz w:val="19"/>
        </w:rPr>
        <w:t xml:space="preserve">_11:31:36 </w:t>
      </w:r>
      <w:r>
        <w:tab/>
      </w:r>
      <w:r>
        <w:rPr>
          <w:rFonts w:ascii="Arial" w:hAnsi="Arial" w:eastAsia="Arial"/>
          <w:b/>
          <w:i w:val="0"/>
          <w:color w:val="FFFFFF"/>
          <w:sz w:val="19"/>
        </w:rPr>
        <w:t>AR</w:t>
      </w:r>
    </w:p>
    <w:sectPr w:rsidR="00FC693F" w:rsidRPr="0006063C" w:rsidSect="00034616">
      <w:pgSz w:w="11906" w:h="16838"/>
      <w:pgMar w:top="294" w:right="548" w:bottom="284" w:left="85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