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80"/>
        <w:ind w:left="0" w:right="0"/>
      </w:pPr>
    </w:p>
    <w:p>
      <w:pPr>
        <w:sectPr>
          <w:headerReference w:type="default" r:id="rId10"/>
          <w:footerReference w:type="default" r:id="rId11"/>
          <w:headerReference w:type="first" r:id="rId12"/>
          <w:footerReference w:type="first" r:id="rId13"/>
          <w:headerReference w:type="even" r:id="rId14"/>
          <w:footerReference w:type="even" r:id="rId15"/>
          <w:pgSz w:w="11906" w:h="16838"/>
          <w:pgMar w:top="302" w:right="548" w:bottom="284" w:left="850" w:header="720" w:footer="720" w:gutter="0"/>
          <w:cols w:space="720"/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2085339" cy="31495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085339" cy="3149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190" w:lineRule="exact" w:before="1324" w:after="0"/>
        <w:ind w:left="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19"/>
        </w:rPr>
        <w:t>MONETA Money Bank, a.s.</w:t>
      </w:r>
    </w:p>
    <w:p>
      <w:pPr>
        <w:sectPr>
          <w:type w:val="continuous"/>
          <w:pgSz w:w="11906" w:h="16838"/>
          <w:pgMar w:top="302" w:right="548" w:bottom="284" w:left="850" w:header="720" w:footer="720" w:gutter="0"/>
          <w:cols w:num="2" w:equalWidth="0">
            <w:col w:w="3534" w:space="0"/>
            <w:col w:w="6974" w:space="0"/>
          </w:cols>
          <w:docGrid w:linePitch="360"/>
        </w:sectPr>
      </w:pPr>
    </w:p>
    <w:p>
      <w:pPr>
        <w:autoSpaceDN w:val="0"/>
        <w:autoSpaceDE w:val="0"/>
        <w:widowControl/>
        <w:spacing w:line="322" w:lineRule="exact" w:before="0" w:after="472"/>
        <w:ind w:left="144" w:right="3744" w:firstLine="0"/>
        <w:jc w:val="center"/>
      </w:pPr>
      <w:r>
        <w:rPr>
          <w:rFonts w:ascii="Arial" w:hAnsi="Arial" w:eastAsia="Arial"/>
          <w:b/>
          <w:i w:val="0"/>
          <w:color w:val="000000"/>
          <w:sz w:val="30"/>
        </w:rPr>
        <w:t xml:space="preserve">SMLOUVA O ÚVĚRU </w:t>
      </w:r>
      <w:r>
        <w:br/>
      </w:r>
      <w:r>
        <w:rPr>
          <w:rFonts w:ascii="Arial" w:hAnsi="Arial" w:eastAsia="Arial"/>
          <w:b/>
          <w:i w:val="0"/>
          <w:color w:val="000000"/>
          <w:sz w:val="30"/>
        </w:rPr>
        <w:t>Expres Business</w:t>
      </w:r>
    </w:p>
    <w:p>
      <w:pPr>
        <w:sectPr>
          <w:type w:val="nextColumn"/>
          <w:pgSz w:w="11906" w:h="16838"/>
          <w:pgMar w:top="302" w:right="548" w:bottom="284" w:left="850" w:header="720" w:footer="720" w:gutter="0"/>
          <w:cols w:num="2" w:equalWidth="0">
            <w:col w:w="3534" w:space="0"/>
            <w:col w:w="6974" w:space="0"/>
          </w:cols>
          <w:docGrid w:linePitch="360"/>
        </w:sectPr>
      </w:pPr>
    </w:p>
    <w:p>
      <w:pPr>
        <w:autoSpaceDN w:val="0"/>
        <w:autoSpaceDE w:val="0"/>
        <w:widowControl/>
        <w:spacing w:line="208" w:lineRule="exact" w:before="0" w:after="0"/>
        <w:ind w:left="0" w:right="3600" w:firstLine="0"/>
        <w:jc w:val="left"/>
      </w:pPr>
      <w:r>
        <w:t xml:space="preserve">náměstí 1. [[ADDRESS_1]], [[ICO_1]] zapsána u MS v Praze, oddíl B, vložka 5403 </w:t>
        <w:br/>
        <w:t>(dále jen „Banka“)</w:t>
      </w:r>
    </w:p>
    <w:p>
      <w:pPr>
        <w:autoSpaceDN w:val="0"/>
        <w:autoSpaceDE w:val="0"/>
        <w:widowControl/>
        <w:spacing w:line="190" w:lineRule="exact" w:before="248" w:after="0"/>
        <w:ind w:left="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9"/>
        </w:rPr>
        <w:t>a</w:t>
      </w:r>
    </w:p>
    <w:p>
      <w:pPr>
        <w:autoSpaceDN w:val="0"/>
        <w:autoSpaceDE w:val="0"/>
        <w:widowControl/>
        <w:spacing w:line="218" w:lineRule="exact" w:before="218" w:after="0"/>
        <w:ind w:left="0" w:right="3456" w:firstLine="0"/>
        <w:jc w:val="left"/>
      </w:pPr>
      <w:r>
        <w:t>[[PERSON_1]]</w:t>
        <w:br/>
        <w:t xml:space="preserve">[[ICO_2]] </w:t>
        <w:br/>
        <w:t xml:space="preserve">[[BIRTH_ID_1]] </w:t>
        <w:br/>
        <w:t xml:space="preserve">Adresa místa podnikání: [[ADDRESS_2]] (dále jen „Klient“) </w:t>
        <w:br/>
        <w:t>se dohodli takto:</w:t>
      </w:r>
    </w:p>
    <w:p>
      <w:pPr>
        <w:autoSpaceDN w:val="0"/>
        <w:autoSpaceDE w:val="0"/>
        <w:widowControl/>
        <w:spacing w:line="218" w:lineRule="exact" w:before="182" w:after="0"/>
        <w:ind w:left="4320" w:right="4320" w:firstLine="0"/>
        <w:jc w:val="center"/>
      </w:pPr>
      <w:r>
        <w:rPr>
          <w:rFonts w:ascii="Arial" w:hAnsi="Arial" w:eastAsia="Arial"/>
          <w:b/>
          <w:i w:val="0"/>
          <w:color w:val="000000"/>
          <w:sz w:val="19"/>
        </w:rPr>
        <w:t>Článek I</w:t>
      </w:r>
      <w:r>
        <w:br/>
      </w:r>
      <w:r>
        <w:rPr>
          <w:rFonts w:ascii="Arial" w:hAnsi="Arial" w:eastAsia="Arial"/>
          <w:b/>
          <w:i w:val="0"/>
          <w:color w:val="000000"/>
          <w:sz w:val="19"/>
        </w:rPr>
        <w:t>Úvodní ustanovení</w:t>
      </w:r>
    </w:p>
    <w:p>
      <w:pPr>
        <w:autoSpaceDN w:val="0"/>
        <w:autoSpaceDE w:val="0"/>
        <w:widowControl/>
        <w:spacing w:line="218" w:lineRule="exact" w:before="100" w:after="0"/>
        <w:ind w:left="0" w:right="20" w:firstLine="0"/>
        <w:jc w:val="both"/>
      </w:pPr>
      <w:r>
        <w:rPr>
          <w:rFonts w:ascii="ArialMT" w:hAnsi="ArialMT" w:eastAsia="ArialMT"/>
          <w:b w:val="0"/>
          <w:i w:val="0"/>
          <w:color w:val="000000"/>
          <w:sz w:val="19"/>
        </w:rPr>
        <w:t>Tato smlouva upravuje práva a povinnosti stran při poskytování úvěru Bankou Klientovi a jeho splácení Klientem Bance. Zá-</w:t>
      </w:r>
      <w:r>
        <w:rPr>
          <w:rFonts w:ascii="ArialMT" w:hAnsi="ArialMT" w:eastAsia="ArialMT"/>
          <w:b w:val="0"/>
          <w:i w:val="0"/>
          <w:color w:val="000000"/>
          <w:sz w:val="19"/>
        </w:rPr>
        <w:t>ležitosti výslovně neupravené v této smlouvě se řídí Produktovými podmínkami komerčního bankovnictví (dále jen „</w:t>
      </w:r>
      <w:r>
        <w:rPr>
          <w:rFonts w:ascii="Arial" w:hAnsi="Arial" w:eastAsia="Arial"/>
          <w:b/>
          <w:i w:val="0"/>
          <w:color w:val="000000"/>
          <w:sz w:val="19"/>
        </w:rPr>
        <w:t>PPKB</w:t>
      </w: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“) </w:t>
      </w:r>
      <w:r>
        <w:rPr>
          <w:rFonts w:ascii="ArialMT" w:hAnsi="ArialMT" w:eastAsia="ArialMT"/>
          <w:b w:val="0"/>
          <w:i w:val="0"/>
          <w:color w:val="000000"/>
          <w:sz w:val="19"/>
        </w:rPr>
        <w:t>a Všeobecnými produktovými podmínkami (dále jen „</w:t>
      </w:r>
      <w:r>
        <w:rPr>
          <w:rFonts w:ascii="Arial" w:hAnsi="Arial" w:eastAsia="Arial"/>
          <w:b/>
          <w:i w:val="0"/>
          <w:color w:val="000000"/>
          <w:sz w:val="19"/>
        </w:rPr>
        <w:t>Podmínky</w:t>
      </w: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"), které tvoří součást této smlouvy. Pojmy psané v této </w:t>
      </w: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smlouvě s velkými počátečními písmeny, nejsou-li zde definovány jinak, mají význam, který je jim přiřazen v  PPKB nebo </w:t>
      </w:r>
      <w:r>
        <w:rPr>
          <w:rFonts w:ascii="ArialMT" w:hAnsi="ArialMT" w:eastAsia="ArialMT"/>
          <w:b w:val="0"/>
          <w:i w:val="0"/>
          <w:color w:val="000000"/>
          <w:sz w:val="19"/>
        </w:rPr>
        <w:t>v Podmínkách. Klient prohlašuje, že se seznámil s PPKB a Podmínkami, a podpisem smlouvy potvrzuje, že jim rozumí</w:t>
      </w:r>
      <w:r>
        <w:rPr>
          <w:rFonts w:ascii="ArialMT" w:hAnsi="ArialMT" w:eastAsia="ArialMT"/>
          <w:b w:val="0"/>
          <w:i w:val="0"/>
          <w:color w:val="000000"/>
          <w:sz w:val="19"/>
        </w:rPr>
        <w:t>a s jejich obsahem souhlasí.</w:t>
      </w:r>
    </w:p>
    <w:p>
      <w:pPr>
        <w:autoSpaceDN w:val="0"/>
        <w:autoSpaceDE w:val="0"/>
        <w:widowControl/>
        <w:spacing w:line="218" w:lineRule="exact" w:before="182" w:after="0"/>
        <w:ind w:left="4464" w:right="4464" w:firstLine="0"/>
        <w:jc w:val="center"/>
      </w:pPr>
      <w:r>
        <w:rPr>
          <w:rFonts w:ascii="Arial" w:hAnsi="Arial" w:eastAsia="Arial"/>
          <w:b/>
          <w:i w:val="0"/>
          <w:color w:val="000000"/>
          <w:sz w:val="19"/>
        </w:rPr>
        <w:t xml:space="preserve">Článek II </w:t>
      </w:r>
      <w:r>
        <w:br/>
      </w:r>
      <w:r>
        <w:rPr>
          <w:rFonts w:ascii="Arial" w:hAnsi="Arial" w:eastAsia="Arial"/>
          <w:b/>
          <w:i w:val="0"/>
          <w:color w:val="000000"/>
          <w:sz w:val="19"/>
        </w:rPr>
        <w:t>Podmínky úvěru</w:t>
      </w:r>
    </w:p>
    <w:p>
      <w:pPr>
        <w:autoSpaceDN w:val="0"/>
        <w:autoSpaceDE w:val="0"/>
        <w:widowControl/>
        <w:spacing w:line="190" w:lineRule="exact" w:before="128" w:after="0"/>
        <w:ind w:left="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19"/>
        </w:rPr>
        <w:t>1. Jistina úvěru</w:t>
      </w: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: </w:t>
      </w:r>
      <w:r>
        <w:rPr>
          <w:rFonts w:ascii="Arial" w:hAnsi="Arial" w:eastAsia="Arial"/>
          <w:b/>
          <w:i w:val="0"/>
          <w:color w:val="000000"/>
          <w:sz w:val="19"/>
        </w:rPr>
        <w:t>450 000,00</w:t>
      </w:r>
      <w:r>
        <w:rPr>
          <w:rFonts w:ascii="Arial" w:hAnsi="Arial" w:eastAsia="Arial"/>
          <w:b/>
          <w:i w:val="0"/>
          <w:color w:val="000000"/>
          <w:sz w:val="19"/>
        </w:rPr>
        <w:t>Kč</w:t>
      </w: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 (čtyřistapadesáttisíc korun českých).</w:t>
      </w:r>
    </w:p>
    <w:p>
      <w:pPr>
        <w:autoSpaceDN w:val="0"/>
        <w:autoSpaceDE w:val="0"/>
        <w:widowControl/>
        <w:spacing w:line="190" w:lineRule="exact" w:before="466" w:after="0"/>
        <w:ind w:left="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19"/>
        </w:rPr>
        <w:t>2. Roční pevná úroková sazba: 10,80 %.</w:t>
      </w:r>
    </w:p>
    <w:p>
      <w:pPr>
        <w:autoSpaceDN w:val="0"/>
        <w:tabs>
          <w:tab w:pos="228" w:val="left"/>
        </w:tabs>
        <w:autoSpaceDE w:val="0"/>
        <w:widowControl/>
        <w:spacing w:line="220" w:lineRule="exact" w:before="216" w:after="0"/>
        <w:ind w:left="0" w:right="1296" w:firstLine="0"/>
        <w:jc w:val="left"/>
      </w:pPr>
      <w:r>
        <w:rPr>
          <w:rFonts w:ascii="Arial" w:hAnsi="Arial" w:eastAsia="Arial"/>
          <w:b/>
          <w:i w:val="0"/>
          <w:color w:val="000000"/>
          <w:sz w:val="19"/>
        </w:rPr>
        <w:t xml:space="preserve">3. Čerpání úvěru: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19"/>
        </w:rPr>
        <w:t>a) Banka poskytne Klientovi peněžní prostředky bez stanovení jejich účelu a bez žádosti o čerpání úvěru.</w:t>
      </w:r>
    </w:p>
    <w:p>
      <w:pPr>
        <w:autoSpaceDN w:val="0"/>
        <w:autoSpaceDE w:val="0"/>
        <w:widowControl/>
        <w:spacing w:line="190" w:lineRule="exact" w:before="28" w:after="0"/>
        <w:ind w:left="228" w:right="0" w:firstLine="0"/>
        <w:jc w:val="left"/>
      </w:pPr>
      <w:r>
        <w:t>b) Datum čerpání úvěru může nastat nejdříve v den podpisu této smlouvy, nejpozději však [[DATE_1]].</w:t>
      </w:r>
    </w:p>
    <w:p>
      <w:pPr>
        <w:autoSpaceDN w:val="0"/>
        <w:tabs>
          <w:tab w:pos="284" w:val="left"/>
        </w:tabs>
        <w:autoSpaceDE w:val="0"/>
        <w:widowControl/>
        <w:spacing w:line="220" w:lineRule="exact" w:before="216" w:after="0"/>
        <w:ind w:left="0" w:right="3456" w:firstLine="0"/>
        <w:jc w:val="left"/>
      </w:pPr>
      <w:r>
        <w:rPr>
          <w:rFonts w:ascii="Arial" w:hAnsi="Arial" w:eastAsia="Arial"/>
          <w:b/>
          <w:i w:val="0"/>
          <w:color w:val="000000"/>
          <w:sz w:val="19"/>
        </w:rPr>
        <w:t xml:space="preserve">4. Způsob splácení úvěru, smluvních úroků, úhrada pojištění (je-li sjednáno): </w:t>
      </w:r>
      <w:r>
        <w:tab/>
      </w:r>
      <w:r>
        <w:rPr>
          <w:rFonts w:ascii="Arial" w:hAnsi="Arial" w:eastAsia="Arial"/>
          <w:b/>
          <w:i w:val="0"/>
          <w:color w:val="000000"/>
          <w:sz w:val="19"/>
        </w:rPr>
        <w:t xml:space="preserve">Anuitní způsob splácení: </w:t>
      </w:r>
      <w:r>
        <w:rPr>
          <w:rFonts w:ascii="ArialMT" w:hAnsi="ArialMT" w:eastAsia="ArialMT"/>
          <w:b w:val="0"/>
          <w:i w:val="0"/>
          <w:color w:val="000000"/>
          <w:sz w:val="19"/>
        </w:rPr>
        <w:t>Ano</w:t>
      </w:r>
    </w:p>
    <w:p>
      <w:pPr>
        <w:autoSpaceDN w:val="0"/>
        <w:autoSpaceDE w:val="0"/>
        <w:widowControl/>
        <w:spacing w:line="218" w:lineRule="exact" w:before="218" w:after="0"/>
        <w:ind w:left="284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Klient se zavazuje peněžní prostředky poskytnuté podle této smlouvy vrátit Bance formou </w:t>
      </w:r>
      <w:r>
        <w:rPr>
          <w:rFonts w:ascii="Arial" w:hAnsi="Arial" w:eastAsia="Arial"/>
          <w:b/>
          <w:i w:val="0"/>
          <w:color w:val="000000"/>
          <w:sz w:val="19"/>
        </w:rPr>
        <w:t>120</w:t>
      </w:r>
      <w:r>
        <w:rPr>
          <w:rFonts w:ascii="Arial" w:hAnsi="Arial" w:eastAsia="Arial"/>
          <w:b/>
          <w:i w:val="0"/>
          <w:color w:val="000000"/>
          <w:sz w:val="19"/>
        </w:rPr>
        <w:t xml:space="preserve">pravidelných měsíčních </w:t>
      </w:r>
      <w:r>
        <w:rPr>
          <w:rFonts w:ascii="ArialMT" w:hAnsi="ArialMT" w:eastAsia="ArialMT"/>
          <w:b w:val="0"/>
          <w:i w:val="0"/>
          <w:color w:val="000000"/>
          <w:sz w:val="19"/>
        </w:rPr>
        <w:t>anuitních</w:t>
      </w:r>
      <w:r>
        <w:rPr>
          <w:rFonts w:ascii="Arial" w:hAnsi="Arial" w:eastAsia="Arial"/>
          <w:b/>
          <w:i w:val="0"/>
          <w:color w:val="000000"/>
          <w:sz w:val="19"/>
        </w:rPr>
        <w:t xml:space="preserve">  splátek,</w:t>
      </w: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 které se skládají z těchto plateb:</w:t>
      </w:r>
    </w:p>
    <w:p>
      <w:pPr>
        <w:autoSpaceDN w:val="0"/>
        <w:tabs>
          <w:tab w:pos="3400" w:val="left"/>
          <w:tab w:pos="3684" w:val="left"/>
        </w:tabs>
        <w:autoSpaceDE w:val="0"/>
        <w:widowControl/>
        <w:spacing w:line="214" w:lineRule="exact" w:before="224" w:after="0"/>
        <w:ind w:left="284" w:right="0" w:firstLine="0"/>
        <w:jc w:val="left"/>
      </w:pPr>
      <w:r>
        <w:t xml:space="preserve">Měsíční splátka jistiny a úroku: </w:t>
        <w:tab/>
        <w:tab/>
        <w:t>6 147,92 Kč</w:t>
        <w:br/>
        <w:t xml:space="preserve">Měsíční úhrada za pojištění: </w:t>
        <w:tab/>
        <w:t xml:space="preserve">Nesjednává se </w:t>
        <w:br/>
        <w:t xml:space="preserve">Měsíční splátka celkem: </w:t>
        <w:tab/>
        <w:tab/>
        <w:t>6 147,92 Kč</w:t>
        <w:br/>
        <w:t>Měsíční splátky jsou sjednány vždy k 20. dni v měsíci, první řádná splátka je splatná ke dni [[DATE_2]]. Den poslednířádné měsíční splátky je [[DATE_3]].</w:t>
      </w:r>
    </w:p>
    <w:p>
      <w:pPr>
        <w:autoSpaceDN w:val="0"/>
        <w:autoSpaceDE w:val="0"/>
        <w:widowControl/>
        <w:spacing w:line="218" w:lineRule="exact" w:before="436" w:after="0"/>
        <w:ind w:left="284" w:right="0" w:hanging="284"/>
        <w:jc w:val="left"/>
      </w:pPr>
      <w:r>
        <w:rPr>
          <w:rFonts w:ascii="Arial" w:hAnsi="Arial" w:eastAsia="Arial"/>
          <w:b/>
          <w:i w:val="0"/>
          <w:color w:val="000000"/>
          <w:sz w:val="19"/>
        </w:rPr>
        <w:t xml:space="preserve">5. Poplatky: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Klient je povinen platit Bance sjednané Poplatky, a to </w:t>
      </w:r>
      <w:r>
        <w:rPr>
          <w:rFonts w:ascii="Arial" w:hAnsi="Arial" w:eastAsia="Arial"/>
          <w:b/>
          <w:i w:val="0"/>
          <w:color w:val="000000"/>
          <w:sz w:val="19"/>
        </w:rPr>
        <w:t>podle této smlouvy</w:t>
      </w: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 nebo </w:t>
      </w:r>
      <w:r>
        <w:rPr>
          <w:rFonts w:ascii="Arial" w:hAnsi="Arial" w:eastAsia="Arial"/>
          <w:b/>
          <w:i w:val="0"/>
          <w:color w:val="000000"/>
          <w:sz w:val="19"/>
        </w:rPr>
        <w:t>podle Sazebníku účinného v době</w:t>
      </w:r>
      <w:r>
        <w:rPr>
          <w:rFonts w:ascii="Arial" w:hAnsi="Arial" w:eastAsia="Arial"/>
          <w:b/>
          <w:i w:val="0"/>
          <w:color w:val="000000"/>
          <w:sz w:val="19"/>
        </w:rPr>
        <w:t>účtování</w:t>
      </w: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 Poplatku. Banka je oprávněna i s účinky pro již sjednaná smluvní ujednání Poplatky </w:t>
      </w:r>
      <w:r>
        <w:rPr>
          <w:rFonts w:ascii="Arial" w:hAnsi="Arial" w:eastAsia="Arial"/>
          <w:b/>
          <w:i w:val="0"/>
          <w:color w:val="000000"/>
          <w:sz w:val="19"/>
        </w:rPr>
        <w:t>průběžně a jednostranně</w:t>
      </w:r>
      <w:r>
        <w:rPr>
          <w:rFonts w:ascii="Arial" w:hAnsi="Arial" w:eastAsia="Arial"/>
          <w:b/>
          <w:i w:val="0"/>
          <w:color w:val="000000"/>
          <w:sz w:val="19"/>
        </w:rPr>
        <w:t>měnit, rušit či doplňovat,</w:t>
      </w: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 za předpokladu poskytnutí informace o změně Klientovi. Poplatky jsou účtovány ke konci </w:t>
      </w:r>
      <w:r>
        <w:rPr>
          <w:rFonts w:ascii="ArialMT" w:hAnsi="ArialMT" w:eastAsia="ArialMT"/>
          <w:b w:val="0"/>
          <w:i w:val="0"/>
          <w:color w:val="000000"/>
          <w:sz w:val="19"/>
        </w:rPr>
        <w:t>každého kalendářního měsíce, není-li sjednáno jinak.</w:t>
      </w:r>
    </w:p>
    <w:p>
      <w:pPr>
        <w:autoSpaceDN w:val="0"/>
        <w:autoSpaceDE w:val="0"/>
        <w:widowControl/>
        <w:spacing w:line="190" w:lineRule="exact" w:before="248" w:after="0"/>
        <w:ind w:left="284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19"/>
        </w:rPr>
        <w:t>Měsíční Poplatek za správu úvěrového obchodu:</w:t>
      </w: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 Nesjednává se.</w:t>
      </w:r>
    </w:p>
    <w:p>
      <w:pPr>
        <w:autoSpaceDN w:val="0"/>
        <w:autoSpaceDE w:val="0"/>
        <w:widowControl/>
        <w:spacing w:line="218" w:lineRule="exact" w:before="0" w:after="0"/>
        <w:ind w:left="284" w:right="20" w:firstLine="0"/>
        <w:jc w:val="both"/>
      </w:pPr>
      <w:r>
        <w:rPr>
          <w:rFonts w:ascii="Arial" w:hAnsi="Arial" w:eastAsia="Arial"/>
          <w:b/>
          <w:i w:val="0"/>
          <w:color w:val="000000"/>
          <w:sz w:val="19"/>
        </w:rPr>
        <w:t xml:space="preserve">Poplatek za předčasnou splátku/předčasné splacení úvěru z podnětu Klienta: </w:t>
      </w:r>
      <w:r>
        <w:rPr>
          <w:rFonts w:ascii="ArialMT" w:hAnsi="ArialMT" w:eastAsia="ArialMT"/>
          <w:b w:val="0"/>
          <w:i w:val="0"/>
          <w:color w:val="000000"/>
          <w:sz w:val="19"/>
        </w:rPr>
        <w:t>0,5 % z předčasně splacené jistiny</w:t>
      </w: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úvěru, pokud doba mezi předčasným splacením a sjednaným koncem úvěru není delší než jeden rok, a 1 %, pokud doba </w:t>
      </w:r>
      <w:r>
        <w:rPr>
          <w:rFonts w:ascii="ArialMT" w:hAnsi="ArialMT" w:eastAsia="ArialMT"/>
          <w:b w:val="0"/>
          <w:i w:val="0"/>
          <w:color w:val="000000"/>
          <w:sz w:val="19"/>
        </w:rPr>
        <w:t>mezi předčasným splacením a sjednaným koncem úvěru je delší než jeden rok.</w:t>
      </w:r>
    </w:p>
    <w:p>
      <w:pPr>
        <w:autoSpaceDN w:val="0"/>
        <w:autoSpaceDE w:val="0"/>
        <w:widowControl/>
        <w:spacing w:line="190" w:lineRule="exact" w:before="28" w:after="0"/>
        <w:ind w:left="284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19"/>
        </w:rPr>
        <w:t>Poplatek za čerpání úvěru</w:t>
      </w:r>
      <w:r>
        <w:rPr>
          <w:rFonts w:ascii="ArialMT" w:hAnsi="ArialMT" w:eastAsia="ArialMT"/>
          <w:b w:val="0"/>
          <w:i w:val="0"/>
          <w:color w:val="000000"/>
          <w:sz w:val="19"/>
        </w:rPr>
        <w:t>:</w:t>
      </w:r>
      <w:r>
        <w:rPr>
          <w:rFonts w:ascii="ArialMT" w:hAnsi="ArialMT" w:eastAsia="ArialMT"/>
          <w:b w:val="0"/>
          <w:i w:val="0"/>
          <w:color w:val="000000"/>
          <w:sz w:val="19"/>
        </w:rPr>
        <w:t>jednorázově ve výši 1295.00 Kč.</w:t>
      </w:r>
    </w:p>
    <w:p>
      <w:pPr>
        <w:autoSpaceDN w:val="0"/>
        <w:autoSpaceDE w:val="0"/>
        <w:widowControl/>
        <w:spacing w:line="190" w:lineRule="exact" w:before="580" w:after="0"/>
        <w:ind w:left="656" w:right="0" w:firstLine="0"/>
        <w:jc w:val="left"/>
      </w:pPr>
      <w:r>
        <w:t>MONETA Money Bank, a.s., [[ADDRESS_3]]. [[ICO_1]]. Zapsáno u MS v Praze, odd. B vložka 5403. AP: 220613N2EB</w:t>
      </w:r>
    </w:p>
    <w:p>
      <w:pPr>
        <w:autoSpaceDN w:val="0"/>
        <w:tabs>
          <w:tab w:pos="6540" w:val="left"/>
          <w:tab w:pos="10084" w:val="left"/>
        </w:tabs>
        <w:autoSpaceDE w:val="0"/>
        <w:widowControl/>
        <w:spacing w:line="228" w:lineRule="exact" w:before="60" w:after="0"/>
        <w:ind w:left="506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1 / 2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19"/>
        </w:rPr>
        <w:t>EB_nezajištěný_</w:t>
      </w:r>
      <w:r>
        <w:rPr>
          <w:rFonts w:ascii="Arial" w:hAnsi="Arial" w:eastAsia="Arial"/>
          <w:b/>
          <w:i w:val="0"/>
          <w:color w:val="000000"/>
          <w:sz w:val="19"/>
        </w:rPr>
        <w:t>9003284482</w:t>
      </w: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_11:31:36 </w:t>
      </w:r>
      <w:r>
        <w:tab/>
      </w:r>
      <w:r>
        <w:rPr>
          <w:rFonts w:ascii="Arial" w:hAnsi="Arial" w:eastAsia="Arial"/>
          <w:b/>
          <w:i w:val="0"/>
          <w:color w:val="FFFFFF"/>
          <w:sz w:val="19"/>
        </w:rPr>
        <w:t>AR</w:t>
      </w:r>
    </w:p>
    <w:p>
      <w:pPr>
        <w:sectPr>
          <w:type w:val="continuous"/>
          <w:pgSz w:w="11906" w:h="16838"/>
          <w:pgMar w:top="302" w:right="548" w:bottom="284" w:left="85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4"/>
        <w:ind w:left="0" w:right="0"/>
      </w:pPr>
    </w:p>
    <w:p>
      <w:pPr>
        <w:autoSpaceDN w:val="0"/>
        <w:autoSpaceDE w:val="0"/>
        <w:widowControl/>
        <w:spacing w:line="204" w:lineRule="exact" w:before="0" w:after="0"/>
        <w:ind w:left="4464" w:right="4464" w:firstLine="0"/>
        <w:jc w:val="center"/>
      </w:pPr>
      <w:r>
        <w:rPr>
          <w:rFonts w:ascii="Arial" w:hAnsi="Arial" w:eastAsia="Arial"/>
          <w:b/>
          <w:i w:val="0"/>
          <w:color w:val="000000"/>
          <w:sz w:val="19"/>
        </w:rPr>
        <w:t xml:space="preserve">Článek III </w:t>
      </w:r>
      <w:r>
        <w:br/>
      </w:r>
      <w:r>
        <w:rPr>
          <w:rFonts w:ascii="Arial" w:hAnsi="Arial" w:eastAsia="Arial"/>
          <w:b/>
          <w:i w:val="0"/>
          <w:color w:val="000000"/>
          <w:sz w:val="19"/>
        </w:rPr>
        <w:t>Ostatní ujednání</w:t>
      </w:r>
    </w:p>
    <w:p>
      <w:pPr>
        <w:autoSpaceDN w:val="0"/>
        <w:tabs>
          <w:tab w:pos="284" w:val="left"/>
        </w:tabs>
        <w:autoSpaceDE w:val="0"/>
        <w:widowControl/>
        <w:spacing w:line="218" w:lineRule="exact" w:before="100" w:after="0"/>
        <w:ind w:left="0" w:right="0" w:firstLine="0"/>
        <w:jc w:val="left"/>
      </w:pPr>
      <w:r>
        <w:t xml:space="preserve">1. Specifikace úvěrového účtu, z něhož bude úvěr poskytnut a na který bude úvěr formou zápočtu z Běžného účtu splácen: </w:t>
        <w:tab/>
        <w:t>[[BANK_1]].</w:t>
      </w:r>
    </w:p>
    <w:p>
      <w:pPr>
        <w:autoSpaceDN w:val="0"/>
        <w:autoSpaceDE w:val="0"/>
        <w:widowControl/>
        <w:spacing w:line="218" w:lineRule="exact" w:before="220" w:after="0"/>
        <w:ind w:left="284" w:right="20" w:hanging="284"/>
        <w:jc w:val="both"/>
      </w:pPr>
      <w:r>
        <w:t>2. Specifikace Běžného účtu, v jehož prospěch bude provedeno čerpání úvěru a z něhož budou úvěr, smluvní úroky, Poplatky, úhrada pojištění (je-li sjednáno) případně další peněžité částky související s úvěrem formou zápočtu spláceny: [[BANK_2]]. Banka je dále oprávněna v případě prodlení se splácením provést započtení, a to podle ujednáníobsaženého v PPKB.</w:t>
      </w:r>
    </w:p>
    <w:p>
      <w:pPr>
        <w:autoSpaceDN w:val="0"/>
        <w:autoSpaceDE w:val="0"/>
        <w:widowControl/>
        <w:spacing w:line="218" w:lineRule="exact" w:before="218" w:after="0"/>
        <w:ind w:left="284" w:right="20" w:hanging="284"/>
        <w:jc w:val="both"/>
      </w:pPr>
      <w:r>
        <w:rPr>
          <w:rFonts w:ascii="Arial" w:hAnsi="Arial" w:eastAsia="Arial"/>
          <w:b/>
          <w:i w:val="0"/>
          <w:color w:val="000000"/>
          <w:sz w:val="19"/>
        </w:rPr>
        <w:t>3.</w:t>
      </w: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 Klient je povinen zajistit na Běžném účtu uvedeném v předchozím odst. 2 této smlouvy Měsíční kreditní příjmy v </w:t>
      </w: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minimální výši dvou a půl násobku měsíční splátky jistiny a úroku. Do výpočtu Měsíčního kreditního příjmu nejsou </w:t>
      </w:r>
      <w:r>
        <w:rPr>
          <w:rFonts w:ascii="ArialMT" w:hAnsi="ArialMT" w:eastAsia="ArialMT"/>
          <w:b w:val="0"/>
          <w:i w:val="0"/>
          <w:color w:val="000000"/>
          <w:sz w:val="19"/>
        </w:rPr>
        <w:t>započítávány převody z jakéhokoli účtu Klienta vedeného Bankou, převody z vnitřních účtů bank, příjem z kreditních</w:t>
      </w: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úroků z prostředků na účtech Klienta vedených Bankou, ani příjmy od Skupiny Klienta. Při vyhodnocení plnění této </w:t>
      </w: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podmínky jsou započítávány i Měsíční kreditní příjmy z ostatních běžných účtů Klienta vedených Bankou na IČO Klienta. </w:t>
      </w:r>
      <w:r>
        <w:rPr>
          <w:rFonts w:ascii="ArialMT" w:hAnsi="ArialMT" w:eastAsia="ArialMT"/>
          <w:b w:val="0"/>
          <w:i w:val="0"/>
          <w:color w:val="000000"/>
          <w:sz w:val="19"/>
        </w:rPr>
        <w:t>Při každém  porušení této povinnosti je Klient povinen zaplatit Bance smluvní pokutu</w:t>
      </w:r>
      <w:r>
        <w:rPr>
          <w:rFonts w:ascii="Arial" w:hAnsi="Arial" w:eastAsia="Arial"/>
          <w:b/>
          <w:i w:val="0"/>
          <w:color w:val="000000"/>
          <w:sz w:val="19"/>
        </w:rPr>
        <w:t xml:space="preserve"> sjednanou v Sazebníku, která ke </w:t>
      </w:r>
      <w:r>
        <w:rPr>
          <w:rFonts w:ascii="Arial" w:hAnsi="Arial" w:eastAsia="Arial"/>
          <w:b/>
          <w:i w:val="0"/>
          <w:color w:val="000000"/>
          <w:sz w:val="19"/>
        </w:rPr>
        <w:t>dni podpisu smlouvy činí 300 Kč</w:t>
      </w:r>
      <w:r>
        <w:rPr>
          <w:rFonts w:ascii="ArialMT" w:hAnsi="ArialMT" w:eastAsia="ArialMT"/>
          <w:b w:val="0"/>
          <w:i w:val="0"/>
          <w:color w:val="000000"/>
          <w:sz w:val="19"/>
        </w:rPr>
        <w:t>.</w:t>
      </w:r>
    </w:p>
    <w:p>
      <w:pPr>
        <w:autoSpaceDN w:val="0"/>
        <w:tabs>
          <w:tab w:pos="284" w:val="left"/>
        </w:tabs>
        <w:autoSpaceDE w:val="0"/>
        <w:widowControl/>
        <w:spacing w:line="218" w:lineRule="exact" w:before="218" w:after="0"/>
        <w:ind w:left="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19"/>
        </w:rPr>
        <w:t>4.</w:t>
      </w: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 Klient a Banka se dohodli, že k rozhodování o jakýchkoli sporech vyplývajících z této smlouvy mezi nimi je místně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19"/>
        </w:rPr>
        <w:t>příslušným Obvodní soud pro Prahu 1.</w:t>
      </w:r>
    </w:p>
    <w:p>
      <w:pPr>
        <w:autoSpaceDN w:val="0"/>
        <w:autoSpaceDE w:val="0"/>
        <w:widowControl/>
        <w:spacing w:line="218" w:lineRule="exact" w:before="220" w:after="0"/>
        <w:ind w:left="284" w:right="20" w:hanging="284"/>
        <w:jc w:val="both"/>
      </w:pPr>
      <w:r>
        <w:rPr>
          <w:rFonts w:ascii="Arial" w:hAnsi="Arial" w:eastAsia="Arial"/>
          <w:b/>
          <w:i w:val="0"/>
          <w:color w:val="000000"/>
          <w:sz w:val="19"/>
        </w:rPr>
        <w:t>5.</w:t>
      </w: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 Klient má právo provést předčasné splacení celého úvěru kdykoli a předčasné splacení části úvěru až po uhrazení první</w:t>
      </w: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řádné měsíční splátky úvěru. Klienta a Banka se dohodli, že předčasné splacení lze provést v kterýkoli Pracovní den s </w:t>
      </w:r>
      <w:r>
        <w:rPr>
          <w:rFonts w:ascii="ArialMT" w:hAnsi="ArialMT" w:eastAsia="ArialMT"/>
          <w:b w:val="0"/>
          <w:i w:val="0"/>
          <w:color w:val="000000"/>
          <w:sz w:val="19"/>
        </w:rPr>
        <w:t>výjimkou toho dne v kalendářním měsíci, který se svým číslem shoduje se dnem, ke kterému jsou sjednány řádné</w:t>
      </w:r>
      <w:r>
        <w:rPr>
          <w:rFonts w:ascii="ArialMT" w:hAnsi="ArialMT" w:eastAsia="ArialMT"/>
          <w:b w:val="0"/>
          <w:i w:val="0"/>
          <w:color w:val="000000"/>
          <w:sz w:val="19"/>
        </w:rPr>
        <w:t>měsíční splátky.</w:t>
      </w:r>
    </w:p>
    <w:p>
      <w:pPr>
        <w:autoSpaceDN w:val="0"/>
        <w:tabs>
          <w:tab w:pos="5388" w:val="left"/>
        </w:tabs>
        <w:autoSpaceDE w:val="0"/>
        <w:widowControl/>
        <w:spacing w:line="190" w:lineRule="exact" w:before="1776" w:after="0"/>
        <w:ind w:left="622" w:right="0" w:firstLine="0"/>
        <w:jc w:val="left"/>
      </w:pPr>
      <w:r>
        <w:t>PŘEROV, dne [[DATE_4]] 11:31 PŘEROV, dne [[DATE_4]] 11:31</w:t>
      </w:r>
    </w:p>
    <w:p>
      <w:pPr>
        <w:autoSpaceDN w:val="0"/>
        <w:tabs>
          <w:tab w:pos="1216" w:val="left"/>
          <w:tab w:pos="2150" w:val="left"/>
          <w:tab w:pos="5728" w:val="left"/>
          <w:tab w:pos="6862" w:val="left"/>
        </w:tabs>
        <w:autoSpaceDE w:val="0"/>
        <w:widowControl/>
        <w:spacing w:line="218" w:lineRule="exact" w:before="986" w:after="0"/>
        <w:ind w:left="962" w:right="2016" w:firstLine="0"/>
        <w:jc w:val="left"/>
      </w:pPr>
      <w:r>
        <w:tab/>
        <w:tab/>
        <w:t>[[PERSON_2]]</w:t>
        <w:tab/>
        <w:tab/>
        <w:t>[[PERSON_1]]Bankéř pro živnostníky a malé firmy </w:t>
      </w:r>
    </w:p>
    <w:p>
      <w:pPr>
        <w:autoSpaceDN w:val="0"/>
        <w:autoSpaceDE w:val="0"/>
        <w:widowControl/>
        <w:spacing w:line="190" w:lineRule="exact" w:before="30" w:after="0"/>
        <w:ind w:left="1566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9"/>
        </w:rPr>
        <w:t>MONETA Money Bank, a.s.</w:t>
      </w:r>
    </w:p>
    <w:p>
      <w:pPr>
        <w:autoSpaceDN w:val="0"/>
        <w:tabs>
          <w:tab w:pos="1566" w:val="left"/>
          <w:tab w:pos="1596" w:val="left"/>
          <w:tab w:pos="2028" w:val="left"/>
        </w:tabs>
        <w:autoSpaceDE w:val="0"/>
        <w:widowControl/>
        <w:spacing w:line="220" w:lineRule="exact" w:before="1036" w:after="0"/>
        <w:ind w:left="962" w:right="6480" w:firstLine="0"/>
        <w:jc w:val="left"/>
      </w:pPr>
      <w:r>
        <w:tab/>
        <w:tab/>
        <w:tab/>
        <w:t>[[PERSON_3]]</w:t>
        <w:br/>
        <w:t xml:space="preserve">Vedoucí obchodního místa </w:t>
        <w:br/>
        <w:tab/>
        <w:t>MONETA Money Bank, a.s.</w:t>
      </w:r>
    </w:p>
    <w:p>
      <w:pPr>
        <w:autoSpaceDN w:val="0"/>
        <w:autoSpaceDE w:val="0"/>
        <w:widowControl/>
        <w:spacing w:line="190" w:lineRule="exact" w:before="4328" w:after="0"/>
        <w:ind w:left="656" w:right="0" w:firstLine="0"/>
        <w:jc w:val="left"/>
      </w:pPr>
      <w:r>
        <w:t>MONETA Money Bank, a.s., [[ADDRESS_3]]. [[ICO_1]]. Zapsáno u MS v Praze, odd. B vložka 5403. AP: 220613N2EB</w:t>
      </w:r>
    </w:p>
    <w:p>
      <w:pPr>
        <w:autoSpaceDN w:val="0"/>
        <w:tabs>
          <w:tab w:pos="6540" w:val="left"/>
          <w:tab w:pos="10084" w:val="left"/>
        </w:tabs>
        <w:autoSpaceDE w:val="0"/>
        <w:widowControl/>
        <w:spacing w:line="228" w:lineRule="exact" w:before="60" w:after="0"/>
        <w:ind w:left="506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2 / 2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19"/>
        </w:rPr>
        <w:t>EB_nezajištěný_</w:t>
      </w:r>
      <w:r>
        <w:rPr>
          <w:rFonts w:ascii="Arial" w:hAnsi="Arial" w:eastAsia="Arial"/>
          <w:b/>
          <w:i w:val="0"/>
          <w:color w:val="000000"/>
          <w:sz w:val="19"/>
        </w:rPr>
        <w:t>9003284482</w:t>
      </w: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_11:31:36 </w:t>
      </w:r>
      <w:r>
        <w:tab/>
      </w:r>
      <w:r>
        <w:rPr>
          <w:rFonts w:ascii="Arial" w:hAnsi="Arial" w:eastAsia="Arial"/>
          <w:b/>
          <w:i w:val="0"/>
          <w:color w:val="FFFFFF"/>
          <w:sz w:val="19"/>
        </w:rPr>
        <w:t>AR</w:t>
      </w:r>
    </w:p>
    <w:sectPr w:rsidR="00FC693F" w:rsidRPr="0006063C" w:rsidSect="00034616">
      <w:pgSz w:w="11906" w:h="16838"/>
      <w:pgMar w:top="294" w:right="548" w:bottom="284" w:left="85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header" Target="header1.xml"/><Relationship Id="rId11" Type="http://schemas.openxmlformats.org/officeDocument/2006/relationships/footer" Target="footer1.xml"/><Relationship Id="rId12" Type="http://schemas.openxmlformats.org/officeDocument/2006/relationships/header" Target="header2.xml"/><Relationship Id="rId13" Type="http://schemas.openxmlformats.org/officeDocument/2006/relationships/footer" Target="footer2.xml"/><Relationship Id="rId14" Type="http://schemas.openxmlformats.org/officeDocument/2006/relationships/header" Target="header3.xml"/><Relationship Id="rId15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