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92"/>
        <w:ind w:left="0" w:right="0"/>
      </w:pPr>
    </w:p>
    <w:p>
      <w:pPr>
        <w:autoSpaceDN w:val="0"/>
        <w:autoSpaceDE w:val="0"/>
        <w:widowControl/>
        <w:spacing w:line="310" w:lineRule="auto" w:before="262" w:after="0"/>
        <w:ind w:left="0" w:right="144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NÁJEMNÍ SMLOUVA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(o nájmu bytu podle § 2201 a násl. zákona č. 89/2012 Sb., občanský zákoník) </w:t>
      </w:r>
      <w:r>
        <w:br/>
      </w:r>
      <w:r>
        <w:rPr>
          <w:rFonts w:ascii="Aptos" w:hAnsi="Aptos" w:eastAsia="Aptos"/>
          <w:b w:val="0"/>
          <w:i/>
          <w:color w:val="000000"/>
          <w:sz w:val="22"/>
        </w:rPr>
        <w:t xml:space="preserve">Délka dokumentu odpovídá přibližně pěti stranám formátu A4 při běžném řádkování a velikosti </w:t>
      </w:r>
      <w:r>
        <w:rPr>
          <w:rFonts w:ascii="Aptos" w:hAnsi="Aptos" w:eastAsia="Aptos"/>
          <w:b w:val="0"/>
          <w:i/>
          <w:color w:val="000000"/>
          <w:sz w:val="22"/>
        </w:rPr>
        <w:t>písma 11–12 pt.</w:t>
      </w:r>
    </w:p>
    <w:p>
      <w:pPr>
        <w:autoSpaceDN w:val="0"/>
        <w:autoSpaceDE w:val="0"/>
        <w:widowControl/>
        <w:spacing w:line="228" w:lineRule="auto" w:before="630" w:after="166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 Smluvní strany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015"/>
        <w:gridCol w:w="3015"/>
        <w:gridCol w:w="3015"/>
      </w:tblGrid>
      <w:tr>
        <w:trPr>
          <w:trHeight w:hRule="exact" w:val="446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Jméno a příjmení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Pronajímatel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Nájemce </w:t>
            </w:r>
          </w:p>
        </w:tc>
      </w:tr>
      <w:tr>
        <w:trPr>
          <w:trHeight w:hRule="exact" w:val="500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>[[PERSON_2]]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>[[PERSON_1]]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Datum narození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00" w:right="0" w:firstLine="0"/>
              <w:jc w:val="left"/>
            </w:pPr>
            <w:r>
              <w:t xml:space="preserve">[[DATE_7]]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508" w:right="0" w:firstLine="0"/>
              <w:jc w:val="left"/>
            </w:pPr>
            <w:r>
              <w:t xml:space="preserve">[[DATE_8]]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Adresa trvalého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00" w:right="0" w:firstLine="0"/>
              <w:jc w:val="left"/>
            </w:pPr>
            <w:r>
              <w:t>[[ADDRESS_2]]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508" w:right="0" w:firstLine="0"/>
              <w:jc w:val="left"/>
            </w:pPr>
            <w:r>
              <w:t>[[ADDRESS_3]]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pobytu</w:t>
            </w:r>
          </w:p>
        </w:tc>
        <w:tc>
          <w:tcPr>
            <w:tcW w:type="dxa" w:w="3015"/>
            <w:vMerge/>
            <w:tcBorders/>
          </w:tcPr>
          <w:p/>
        </w:tc>
        <w:tc>
          <w:tcPr>
            <w:tcW w:type="dxa" w:w="301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Číslo OP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 xml:space="preserve">[[BIRTH_ID_1]]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 xml:space="preserve">[[BIRTH_ID_2]] 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Bankovní účet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00" w:right="0" w:firstLine="0"/>
              <w:jc w:val="left"/>
            </w:pPr>
            <w:r>
              <w:t xml:space="preserve">[[BANK_1]]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508" w:right="0" w:firstLine="0"/>
              <w:jc w:val="left"/>
            </w:pPr>
            <w:r>
              <w:t xml:space="preserve">[[BANK_2]] </w:t>
            </w:r>
          </w:p>
        </w:tc>
      </w:tr>
      <w:tr>
        <w:trPr>
          <w:trHeight w:hRule="exact" w:val="40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Telefon / E-mail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 xml:space="preserve">[[PHONE_1]] /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 xml:space="preserve">[[PHONE_2]] / </w:t>
            </w:r>
          </w:p>
        </w:tc>
      </w:tr>
      <w:tr>
        <w:trPr>
          <w:trHeight w:hRule="exact" w:val="342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00" w:right="0" w:firstLine="0"/>
              <w:jc w:val="left"/>
            </w:pPr>
            <w:r>
              <w:t>[[EMAIL_1]]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508" w:right="0" w:firstLine="0"/>
              <w:jc w:val="left"/>
            </w:pPr>
            <w:r>
              <w:t>[[EMAIL_2]]</w:t>
            </w:r>
          </w:p>
        </w:tc>
      </w:tr>
    </w:tbl>
    <w:p>
      <w:pPr>
        <w:autoSpaceDN w:val="0"/>
        <w:autoSpaceDE w:val="0"/>
        <w:widowControl/>
        <w:spacing w:line="228" w:lineRule="auto" w:before="16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a Nájemce jsou dále společně označováni jako </w:t>
      </w:r>
      <w:r>
        <w:rPr>
          <w:rFonts w:ascii="Aptos" w:hAnsi="Aptos" w:eastAsia="Aptos"/>
          <w:b/>
          <w:i w:val="0"/>
          <w:color w:val="000000"/>
          <w:sz w:val="22"/>
        </w:rPr>
        <w:t>„Smluvní strany“.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276" w:lineRule="auto" w:before="630" w:after="0"/>
        <w:ind w:left="0" w:right="0" w:firstLine="0"/>
        <w:jc w:val="left"/>
      </w:pPr>
      <w:r>
        <w:t xml:space="preserve">2 Předmět nájmu </w:t>
        <w:br/>
        <w:tab/>
        <w:t xml:space="preserve">1.Pronajímatel přenechává Nájemci do užívání bytovou jednotku č. 12 o celkové výměře </w:t>
        <w:tab/>
        <w:tab/>
        <w:t xml:space="preserve">63 m² nacházející se v 2. NP domu [[ADDRESS_1]] (dále jen </w:t>
        <w:tab/>
        <w:tab/>
        <w:t xml:space="preserve">„Byt“).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576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 Bytu náleží sklepní kóje č. 12 o výměře 3 m² a společné prostory domu (kolárna,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kočárkárna, sušárna).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 je vybaven movitými věcmi uvedenými v příloze č. 1 této smlouvy (Inventární list).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28" w:after="0"/>
        <w:ind w:left="0" w:right="2160" w:firstLine="0"/>
        <w:jc w:val="left"/>
      </w:pPr>
      <w:r>
        <w:t xml:space="preserve">3 Doba nájmu </w:t>
        <w:br/>
        <w:tab/>
        <w:t xml:space="preserve">1.Nájem se sjednává na dobu určitou od [[DATE_1]] do [[DATE_2]]. </w:t>
      </w:r>
    </w:p>
    <w:p>
      <w:pPr>
        <w:autoSpaceDN w:val="0"/>
        <w:autoSpaceDE w:val="0"/>
        <w:widowControl/>
        <w:spacing w:line="245" w:lineRule="auto" w:before="180" w:after="0"/>
        <w:ind w:left="720" w:right="0" w:hanging="36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Pokud žádná ze Smluvních stran písemně neoznámí druhé straně nejpozději 2 měsíce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 uplynutím doby nájmu, že na nástavě netrvá, nájem se </w:t>
      </w:r>
      <w:r>
        <w:rPr>
          <w:rFonts w:ascii="Aptos" w:hAnsi="Aptos" w:eastAsia="Aptos"/>
          <w:b/>
          <w:i w:val="0"/>
          <w:color w:val="000000"/>
          <w:sz w:val="22"/>
        </w:rPr>
        <w:t>automaticky prodlužuje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o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další jeden rok za stejných podmínek.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 Nájemné a platební podmínky </w:t>
      </w:r>
    </w:p>
    <w:p>
      <w:pPr>
        <w:sectPr>
          <w:headerReference w:type="default" r:id="rId9"/>
          <w:footerReference w:type="default" r:id="rId10"/>
          <w:headerReference w:type="first" r:id="rId11"/>
          <w:footerReference w:type="first" r:id="rId12"/>
          <w:headerReference w:type="even" r:id="rId13"/>
          <w:footerReference w:type="even" r:id="rId14"/>
          <w:pgSz w:w="11906" w:h="16838"/>
          <w:pgMar w:top="814" w:right="142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4.1 Výše nájemného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Měsíční nájemné: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14 500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Záloha na služby spojené s užíváním bytu: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3 200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Celkem měsíčně:</w:t>
      </w:r>
      <w:r>
        <w:rPr>
          <w:rFonts w:ascii="Aptos" w:hAnsi="Aptos" w:eastAsia="Aptos"/>
          <w:b/>
          <w:i w:val="0"/>
          <w:color w:val="000000"/>
          <w:sz w:val="22"/>
        </w:rPr>
        <w:t>17 700 Kč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4.2 Platební kalendář </w:t>
      </w:r>
    </w:p>
    <w:p>
      <w:pPr>
        <w:autoSpaceDN w:val="0"/>
        <w:tabs>
          <w:tab w:pos="1532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Období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Datum splatnosti Nájemné (Kč) Zálohy (Kč) Celkem (Kč)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t xml:space="preserve">Červen 2025 </w:t>
        <w:tab/>
        <w:t xml:space="preserve">[[DATE_3]] </w:t>
        <w:tab/>
        <w:t xml:space="preserve">14 500 </w:t>
        <w:tab/>
        <w:t xml:space="preserve">3 200 </w:t>
        <w:tab/>
        <w:t xml:space="preserve">17 700 </w:t>
      </w:r>
    </w:p>
    <w:p>
      <w:pPr>
        <w:autoSpaceDN w:val="0"/>
        <w:tabs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t xml:space="preserve">Červenec 2025 [[DATE_4]] </w:t>
        <w:tab/>
        <w:t xml:space="preserve">14 500 </w:t>
        <w:tab/>
        <w:t xml:space="preserve">3 200 </w:t>
        <w:tab/>
        <w:t xml:space="preserve">17 700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t xml:space="preserve">Květen 2026 </w:t>
        <w:tab/>
        <w:t xml:space="preserve">[[DATE_5]] </w:t>
        <w:tab/>
        <w:t xml:space="preserve">14 500 </w:t>
        <w:tab/>
        <w:t xml:space="preserve">3 200 </w:t>
        <w:tab/>
        <w:t xml:space="preserve">17 700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Nájemce hradí platby </w:t>
      </w:r>
      <w:r>
        <w:rPr>
          <w:rFonts w:ascii="Aptos" w:hAnsi="Aptos" w:eastAsia="Aptos"/>
          <w:b/>
          <w:i/>
          <w:color w:val="000000"/>
          <w:sz w:val="22"/>
        </w:rPr>
        <w:t>měsíčně předem</w:t>
      </w:r>
      <w:r>
        <w:rPr>
          <w:rFonts w:ascii="Aptos" w:hAnsi="Aptos" w:eastAsia="Aptos"/>
          <w:b w:val="0"/>
          <w:i/>
          <w:color w:val="000000"/>
          <w:sz w:val="22"/>
        </w:rPr>
        <w:t xml:space="preserve"> převodem na bankovní účet Pronajímatele uvedený v </w:t>
      </w:r>
    </w:p>
    <w:p>
      <w:pPr>
        <w:autoSpaceDN w:val="0"/>
        <w:autoSpaceDE w:val="0"/>
        <w:widowControl/>
        <w:spacing w:line="228" w:lineRule="auto" w:before="1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>čl. 1.</w:t>
      </w:r>
    </w:p>
    <w:p>
      <w:pPr>
        <w:autoSpaceDN w:val="0"/>
        <w:autoSpaceDE w:val="0"/>
        <w:widowControl/>
        <w:spacing w:line="226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 den úhrady se považuje den připsání částky na účet Pronajímatele. </w:t>
      </w:r>
    </w:p>
    <w:p>
      <w:pPr>
        <w:autoSpaceDN w:val="0"/>
        <w:autoSpaceDE w:val="0"/>
        <w:widowControl/>
        <w:spacing w:line="228" w:lineRule="auto" w:before="63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5 Jistota (kauce)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Při podpisu smlouvy skládá Nájemce Pronajímateli </w:t>
      </w:r>
      <w:r>
        <w:rPr>
          <w:rFonts w:ascii="Aptos" w:hAnsi="Aptos" w:eastAsia="Aptos"/>
          <w:b/>
          <w:i w:val="0"/>
          <w:color w:val="000000"/>
          <w:sz w:val="22"/>
        </w:rPr>
        <w:t>kauci ve výši 35 400 Kč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(dvojnásobek měsíčního nájemného vč. služeb).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je oprávněn započíst na kauci: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nezaplacené nájemné nebo služby,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82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náhradu škody na Bytu či vybavení,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pokuty.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Nevyčerpanou část kauce vrátí Pronajímatel Nájemci do 30 dnů od předání Bytu.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 Předání a převzetí Bytu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6.1 Protokol o předání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sepisují </w:t>
      </w:r>
      <w:r>
        <w:rPr>
          <w:rFonts w:ascii="Aptos" w:hAnsi="Aptos" w:eastAsia="Aptos"/>
          <w:b/>
          <w:i w:val="0"/>
          <w:color w:val="000000"/>
          <w:sz w:val="22"/>
        </w:rPr>
        <w:t>Předávací protokol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, který obsahuje: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t xml:space="preserve">Položka </w:t>
        <w:tab/>
        <w:t xml:space="preserve">Stav k [[DATE_1]]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studená voda 00428 m³ </w:t>
      </w:r>
    </w:p>
    <w:p>
      <w:pPr>
        <w:autoSpaceDN w:val="0"/>
        <w:tabs>
          <w:tab w:pos="24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teplá voda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00216 m³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Elektroměr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032 412 kWh </w:t>
      </w:r>
    </w:p>
    <w:p>
      <w:pPr>
        <w:sectPr>
          <w:pgSz w:w="11906" w:h="16838"/>
          <w:pgMar w:top="720" w:right="1420" w:bottom="10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2440" w:val="left"/>
        </w:tabs>
        <w:autoSpaceDE w:val="0"/>
        <w:widowControl/>
        <w:spacing w:line="226" w:lineRule="auto" w:before="0" w:after="0"/>
        <w:ind w:left="46" w:right="0" w:firstLine="0"/>
        <w:jc w:val="left"/>
      </w:pPr>
      <w:r>
        <w:t xml:space="preserve">Položka </w:t>
        <w:tab/>
        <w:t xml:space="preserve">Stav k [[DATE_1]]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001 125 m³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6.2 Inventární list (výběr) </w:t>
      </w:r>
    </w:p>
    <w:p>
      <w:pPr>
        <w:autoSpaceDN w:val="0"/>
        <w:tabs>
          <w:tab w:pos="3132" w:val="left"/>
        </w:tabs>
        <w:autoSpaceDE w:val="0"/>
        <w:widowControl/>
        <w:spacing w:line="226" w:lineRule="auto" w:before="228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Č. Popis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Počet ks Stav </w:t>
      </w:r>
    </w:p>
    <w:p>
      <w:pPr>
        <w:autoSpaceDN w:val="0"/>
        <w:tabs>
          <w:tab w:pos="40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1 Kuchyňská linka + spotřebiče 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2 Lednice 200 l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nový 2023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 Pračka 6 kg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 Postel dvoulůžko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5 Šatní skříň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drobné oděrky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Podrobný inventář tvoří </w:t>
      </w:r>
      <w:r>
        <w:rPr>
          <w:rFonts w:ascii="Aptos" w:hAnsi="Aptos" w:eastAsia="Aptos"/>
          <w:b/>
          <w:i w:val="0"/>
          <w:color w:val="000000"/>
          <w:sz w:val="22"/>
        </w:rPr>
        <w:t>přílohu č. 1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je nedílnou součástí této smlouvy.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7 Práva a povinnosti Pronajímatele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se zavazuje zejména: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Předat Byt ve stavu způsobilém k řádnému užívání.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Zajišťovat a hradit běžnou údržbu domu a společných částí.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Odstraňovat </w:t>
      </w:r>
      <w:r>
        <w:rPr>
          <w:rFonts w:ascii="Aptos" w:hAnsi="Aptos" w:eastAsia="Aptos"/>
          <w:b/>
          <w:i w:val="0"/>
          <w:color w:val="000000"/>
          <w:sz w:val="22"/>
        </w:rPr>
        <w:t>zásadní závady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Bytu (porucha stupačky, havárie elektroinstalace apod.) do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48 hodin od nahlášení. </w:t>
      </w:r>
    </w:p>
    <w:p>
      <w:pPr>
        <w:autoSpaceDN w:val="0"/>
        <w:autoSpaceDE w:val="0"/>
        <w:widowControl/>
        <w:spacing w:line="226" w:lineRule="auto" w:before="180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Respektovat soukromí Nájemce; vstup do Bytu je možný pouze po předchozí dohodě, </w:t>
      </w:r>
    </w:p>
    <w:p>
      <w:pPr>
        <w:autoSpaceDN w:val="0"/>
        <w:autoSpaceDE w:val="0"/>
        <w:widowControl/>
        <w:spacing w:line="228" w:lineRule="auto" w:before="22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není-li nutný okamžitý zásah při havárii.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8 Práva a povinnosti Nájemce </w:t>
      </w:r>
    </w:p>
    <w:p>
      <w:pPr>
        <w:autoSpaceDN w:val="0"/>
        <w:autoSpaceDE w:val="0"/>
        <w:widowControl/>
        <w:spacing w:line="226" w:lineRule="auto" w:before="180" w:after="12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je povinen zejména: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4"/>
        <w:gridCol w:w="4544"/>
      </w:tblGrid>
      <w:tr>
        <w:trPr>
          <w:trHeight w:hRule="exact" w:val="2942"/>
        </w:trPr>
        <w:tc>
          <w:tcPr>
            <w:tcW w:type="dxa" w:w="580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auto" w:before="68" w:after="0"/>
              <w:ind w:left="360" w:right="12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446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Platit nájemné a zálohy řádně a včas. </w:t>
            </w:r>
          </w:p>
          <w:p>
            <w:pPr>
              <w:autoSpaceDN w:val="0"/>
              <w:autoSpaceDE w:val="0"/>
              <w:widowControl/>
              <w:spacing w:line="226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Užívat Byt obvyklým způsobem a udržovat jej v čistotě. </w:t>
            </w:r>
          </w:p>
          <w:p>
            <w:pPr>
              <w:autoSpaceDN w:val="0"/>
              <w:autoSpaceDE w:val="0"/>
              <w:widowControl/>
              <w:spacing w:line="228" w:lineRule="auto" w:before="18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Hlásit Pronajímateli závady bez zbytečného odkladu. </w:t>
            </w:r>
          </w:p>
          <w:p>
            <w:pPr>
              <w:autoSpaceDN w:val="0"/>
              <w:autoSpaceDE w:val="0"/>
              <w:widowControl/>
              <w:spacing w:line="305" w:lineRule="auto" w:before="182" w:after="0"/>
              <w:ind w:left="140" w:right="1152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Nepřenechávat Byt třetím osobám bez písemného souhlasu Pronajímatele.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Dodržovat domovní řád. </w:t>
            </w:r>
          </w:p>
          <w:p>
            <w:pPr>
              <w:autoSpaceDN w:val="0"/>
              <w:autoSpaceDE w:val="0"/>
              <w:widowControl/>
              <w:spacing w:line="228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Uhradit drobné opravy a údržbu (§ 2257 OZ).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44" w:right="1378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9 Údržba a opravy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Drobné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(do 1 000 Kč za jednu položku) hradí Nájemce.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Větší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odstranění skrytých vad Bytu hradí Pronajímatel.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 případě, že Nájemce hradil opravu, kterou měl hradit Pronajímatel, má nárok na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proplacení doložených nákladů do 15 dnů od předložení faktury.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10 Energie a služby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6" w:lineRule="auto" w:before="226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Služba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Způsob zúčtování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Hradí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Elektřina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Vodné / stočné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Topení (ústřední) 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Internet (optika) Paušálně 550 Kč/měs. Nájemce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předloží při ukončení nájmu závěrečné vyúčtování energií; přeplatky a nedoplatky </w:t>
      </w:r>
    </w:p>
    <w:p>
      <w:pPr>
        <w:autoSpaceDN w:val="0"/>
        <w:autoSpaceDE w:val="0"/>
        <w:widowControl/>
        <w:spacing w:line="228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vypořádají Smluvní strany do 30 dnů.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11 Pojištění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má sjednáno pojištění domu vč. odpovědnosti.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se zavazuje uzavřít </w:t>
      </w:r>
      <w:r>
        <w:rPr>
          <w:rFonts w:ascii="Aptos" w:hAnsi="Aptos" w:eastAsia="Aptos"/>
          <w:b/>
          <w:i w:val="0"/>
          <w:color w:val="000000"/>
          <w:sz w:val="22"/>
        </w:rPr>
        <w:t>pojištění domácnosti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minimálním pojistným plněním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300 000 Kč a předložit kopii pojistné smlouvy do 14 dnů od předání Bytu. </w:t>
      </w:r>
    </w:p>
    <w:p>
      <w:pPr>
        <w:autoSpaceDN w:val="0"/>
        <w:autoSpaceDE w:val="0"/>
        <w:widowControl/>
        <w:spacing w:line="228" w:lineRule="auto" w:before="628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12 Odpovědnost za škodu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způsobenou Nájemcem, jeho domácností nebo návštěvou hradí Nájemce.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vzniklou z důvodu neodstraněného vady Bytu hradí Pronajímatel.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Porušení oznamovací povinnosti (čl. 8) zakládá povinnost Nájemce nahradit 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pronajímateli vzniklou škodu.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13 Ochrana osobních údajů (GDPR)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zpracovává osobní údaje Nájemce v rozsahu nezbytném pro plnění </w:t>
      </w:r>
    </w:p>
    <w:p>
      <w:pPr>
        <w:autoSpaceDN w:val="0"/>
        <w:autoSpaceDE w:val="0"/>
        <w:widowControl/>
        <w:spacing w:line="226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Údaje nejsou předávány třetím osobám s výjimkou správcovské společnosti a subjektů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zajišťujících vyúčtování služeb. </w:t>
      </w:r>
    </w:p>
    <w:p>
      <w:pPr>
        <w:sectPr>
          <w:pgSz w:w="11906" w:h="16838"/>
          <w:pgMar w:top="720" w:right="1420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má právo na přístup, opravu a výmaz osobních údajů dle GDPR.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30" w:after="0"/>
        <w:ind w:left="0" w:right="504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14 Ukončení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Dohodou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kdykoli, písemná forma.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2" w:after="0"/>
        <w:ind w:left="360" w:right="288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Výpověď bez výpovědní doby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při hrubém porušení smlouvy (neplacení, poškozování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bytu atd.).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/>
          <w:i w:val="0"/>
          <w:color w:val="000000"/>
          <w:sz w:val="22"/>
        </w:rPr>
        <w:t>Výpověď s výpovědní dobou 3 měsíce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ze zákonných důvodů (§ 2288 OZ).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Převzetí Bytu po ukončení nájmu bude stvrzeno </w:t>
      </w:r>
      <w:r>
        <w:rPr>
          <w:rFonts w:ascii="Aptos" w:hAnsi="Aptos" w:eastAsia="Aptos"/>
          <w:b/>
          <w:i w:val="0"/>
          <w:color w:val="000000"/>
          <w:sz w:val="22"/>
        </w:rPr>
        <w:t>Předávacím protokolem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aktuálními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stavy měřidel a inventáře.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15 Smluvní pokuty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Porušení </w:t>
      </w:r>
      <w:r>
        <w:rPr>
          <w:rFonts w:ascii="Aptos" w:hAnsi="Aptos" w:eastAsia="Aptos"/>
          <w:b/>
          <w:i w:val="0"/>
          <w:color w:val="000000"/>
          <w:sz w:val="22"/>
        </w:rPr>
        <w:t xml:space="preserve">Výše smluvní pokuty </w:t>
      </w:r>
    </w:p>
    <w:p>
      <w:pPr>
        <w:autoSpaceDN w:val="0"/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Prodlení s úhradou nájemného či služeb 0,05 % z dlužné částky za každý den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Nepovolené podnájemní užívání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5 000 Kč za každý započatý měsíc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Nepředání Bytu v čas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1 000 Kč za každý den prodlení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Úhrada smluvní pokuty nezbavuje Smluvní stranu povinnosti nahradit škodu v plné výši. </w:t>
      </w:r>
    </w:p>
    <w:p>
      <w:pPr>
        <w:autoSpaceDN w:val="0"/>
        <w:autoSpaceDE w:val="0"/>
        <w:widowControl/>
        <w:spacing w:line="329" w:lineRule="auto" w:before="628" w:after="0"/>
        <w:ind w:left="360" w:right="1728" w:hanging="36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16 Závěrečná ustanovení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Tato smlouva nabývá účinnosti dnem podpisu obou Smluvních stran. </w:t>
      </w: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Smlouvu lze měnit pouze písemnými číslovanými dodatky.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Nedílnou součástí smlouvy jsou: </w:t>
      </w:r>
    </w:p>
    <w:p>
      <w:pPr>
        <w:autoSpaceDN w:val="0"/>
        <w:tabs>
          <w:tab w:pos="1440" w:val="left"/>
        </w:tabs>
        <w:autoSpaceDE w:val="0"/>
        <w:widowControl/>
        <w:spacing w:line="226" w:lineRule="auto" w:before="180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1 – Inventární list </w:t>
      </w:r>
    </w:p>
    <w:p>
      <w:pPr>
        <w:autoSpaceDN w:val="0"/>
        <w:tabs>
          <w:tab w:pos="1080" w:val="left"/>
          <w:tab w:pos="1440" w:val="left"/>
        </w:tabs>
        <w:autoSpaceDE w:val="0"/>
        <w:widowControl/>
        <w:spacing w:line="305" w:lineRule="auto" w:before="180" w:after="0"/>
        <w:ind w:left="360" w:right="2016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2 – Předávací protokol (vyplní se při předání) </w:t>
      </w: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Otázky neupravené touto smlouvou se řídí občanským zákoníkem.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5.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Smlouva je vyhotovena ve dvou stejnopisech, z nichž každá Smluvní strana obdrží jedno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vyhotovení.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6.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prohlašují, že si smlouvu přečetly, souhlasí s jejím obsahem a na důkaz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toho připojují své podpisy.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t>V Olomouci dne [[DATE_6]]</w:t>
      </w:r>
    </w:p>
    <w:p>
      <w:pPr>
        <w:autoSpaceDN w:val="0"/>
        <w:tabs>
          <w:tab w:pos="2922" w:val="left"/>
        </w:tabs>
        <w:autoSpaceDE w:val="0"/>
        <w:widowControl/>
        <w:spacing w:line="228" w:lineRule="auto" w:before="28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</w:p>
    <w:p>
      <w:pPr>
        <w:sectPr>
          <w:pgSz w:w="11906" w:h="16838"/>
          <w:pgMar w:top="720" w:right="142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26" w:lineRule="auto" w:before="0" w:after="0"/>
        <w:ind w:left="46" w:right="0" w:firstLine="0"/>
        <w:jc w:val="left"/>
      </w:pPr>
      <w:r>
        <w:t xml:space="preserve">[[PERSON_2]](Pronajímatel) [[PERSON_1]](Nájemce) </w:t>
      </w:r>
    </w:p>
    <w:p>
      <w:pPr>
        <w:autoSpaceDN w:val="0"/>
        <w:autoSpaceDE w:val="0"/>
        <w:widowControl/>
        <w:spacing w:line="228" w:lineRule="auto" w:before="674" w:after="168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Příloha č. 1 – Inventární list (úplná verze)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09"/>
        <w:gridCol w:w="1809"/>
        <w:gridCol w:w="1809"/>
        <w:gridCol w:w="1809"/>
        <w:gridCol w:w="1809"/>
      </w:tblGrid>
      <w:tr>
        <w:trPr>
          <w:trHeight w:hRule="exact" w:val="334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Č. Popis položky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Výrobce /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Počet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Pořiz.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18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Stav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80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17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rok </w:t>
            </w:r>
          </w:p>
        </w:tc>
        <w:tc>
          <w:tcPr>
            <w:tcW w:type="dxa" w:w="1809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2" w:val="left"/>
              </w:tabs>
              <w:autoSpaceDE w:val="0"/>
              <w:widowControl/>
              <w:spacing w:line="245" w:lineRule="auto" w:before="124" w:after="0"/>
              <w:ind w:left="26" w:right="144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Kuchyňská linka (skříňky, pracovní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deska)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Metod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 Sporák sklokeramický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ECS6B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 Vestavná trouba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BPS735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4 Lednice kombinovaná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LG GBB72S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nový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5 Myčka nádobí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Bosch SMS4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6 Pračka 6 kg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AEG L6SE26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7 Rozkládací pohovka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Jena Dominik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8 Konferenční stolek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Möbelix Rio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0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9 Jídelní stůl + 4 židle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Sconto Bolton </w:t>
            </w:r>
          </w:p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drobné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809"/>
            <w:vMerge/>
            <w:tcBorders/>
          </w:tcPr>
          <w:p/>
        </w:tc>
        <w:tc>
          <w:tcPr>
            <w:tcW w:type="dxa" w:w="3618"/>
            <w:gridSpan w:val="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oděrky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10 Postel 160 × 200 cm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MALM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5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…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245" w:lineRule="auto" w:before="16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(Inventární list pokračuje na další straně; všechny položky byly převzaty bez vad, není-li uvedeno </w:t>
      </w:r>
      <w:r>
        <w:rPr>
          <w:rFonts w:ascii="Aptos" w:hAnsi="Aptos" w:eastAsia="Aptos"/>
          <w:b w:val="0"/>
          <w:i/>
          <w:color w:val="000000"/>
          <w:sz w:val="22"/>
        </w:rPr>
        <w:t>jinak.)</w:t>
      </w:r>
    </w:p>
    <w:p>
      <w:pPr>
        <w:autoSpaceDN w:val="0"/>
        <w:autoSpaceDE w:val="0"/>
        <w:widowControl/>
        <w:spacing w:line="245" w:lineRule="auto" w:before="630" w:after="0"/>
        <w:ind w:left="0" w:right="288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Tento dokument je čistě ilustrativní („fejkový“) a není určen k reálnému právnímu úkonu.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Chcete-li smlouvu použít, nahraďte prosím osobní údaje, částky a parametry nemovitosti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skutečnými hodnotami a nechte si ji zkontrolovat právníkem. </w:t>
      </w:r>
    </w:p>
    <w:sectPr w:rsidR="00FC693F" w:rsidRPr="0006063C" w:rsidSect="00034616">
      <w:pgSz w:w="11906" w:h="16838"/>
      <w:pgMar w:top="774" w:right="142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