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POSKYTOVÁNÍ PRACOVNĚLÉKAŘSKÝCH SLUŽEB</w:t>
      </w:r>
    </w:p>
    <w:p/>
    <w:p>
      <w:r>
        <w:t>I. SMLUVNÍ STRANY</w:t>
      </w:r>
    </w:p>
    <w:p/>
    <w:p>
      <w:r>
        <w:t>1. Poskytovatel:</w:t>
      </w:r>
    </w:p>
    <w:p>
      <w:r>
        <w:t xml:space="preserve">   Název: PrivatMed Clinic s.r.o.</w:t>
      </w:r>
    </w:p>
    <w:p>
      <w:r>
        <w:t xml:space="preserve">   Sídlo: [[ADDRESS_1]]</w:t>
      </w:r>
    </w:p>
    <w:p>
      <w:r>
        <w:t xml:space="preserve">   [[ICO_1]]</w:t>
      </w:r>
    </w:p>
    <w:p>
      <w:r>
        <w:t xml:space="preserve">   [[PHONE_1]]</w:t>
      </w:r>
    </w:p>
    <w:p>
      <w:r>
        <w:t xml:space="preserve">   E-mail: [[EMAIL_1]]</w:t>
      </w:r>
    </w:p>
    <w:p>
      <w:r>
        <w:t xml:space="preserve">   Lékař: MUDr. [[PERSON_1]], [[BIRTH_ID_1]]</w:t>
      </w:r>
    </w:p>
    <w:p/>
    <w:p>
      <w:r>
        <w:t>2. Zaměstnavatel (Objednatel):</w:t>
      </w:r>
    </w:p>
    <w:p>
      <w:r>
        <w:t xml:space="preserve">   Název: DataSecure Solutions s.r.o.</w:t>
      </w:r>
    </w:p>
    <w:p>
      <w:r>
        <w:t xml:space="preserve">   Sídlo: [[ADDRESS_2]]</w:t>
      </w:r>
    </w:p>
    <w:p>
      <w:r>
        <w:t xml:space="preserve">   [[ICO_2]]</w:t>
      </w:r>
    </w:p>
    <w:p>
      <w:r>
        <w:t xml:space="preserve">   Kontakt: Ing. [[PERSON_2]], [[BIRTH_ID_2]], [[PHONE_2]], e-mail: [[EMAIL_2]]</w:t>
      </w:r>
    </w:p>
    <w:p/>
    <w:p>
      <w:r>
        <w:t>II. PŘEDMĚT</w:t>
      </w:r>
    </w:p>
    <w:p/>
    <w:p>
      <w:r>
        <w:t>1. Poskytovatel bude provádět vstupní, periodické a mimořádné prohlídky zaměstnanců Zaměstnavatele.</w:t>
      </w:r>
    </w:p>
    <w:p>
      <w:r>
        <w:t>2. V rámci služeb budou zpracovávány zdravotní údaje (zvláštní kategorie), výsledky vyšetření a posudky o zdravotní způsobilosti.</w:t>
      </w:r>
    </w:p>
    <w:p/>
    <w:p>
      <w:r>
        <w:t>III. SEZNAM OSOB (PŘÍKLADY PRO TEST)</w:t>
      </w:r>
    </w:p>
    <w:p/>
    <w:p>
      <w:r>
        <w:t>1. Zaměstnanec: [[PERSON_3]], [[BIRTH_ID_3]], e-mail: [[EMAIL_3]], [[PHONE_3]].</w:t>
      </w:r>
    </w:p>
    <w:p>
      <w:r>
        <w:t>2. Zaměstnanec: [[PERSON_4]], [[BIRTH_ID_4]], e-mail: [[EMAIL_4]], [[PHONE_4]].</w:t>
      </w:r>
    </w:p>
    <w:p>
      <w:r>
        <w:t>3. V dokumentaci se mohou objevit tvary: „[[PERSON_3]]“, „s [[PERSON_3]]“, „[[PERSON_4]]“, „s [[PERSON_4]]“.</w:t>
      </w:r>
    </w:p>
    <w:p/>
    <w:p>
      <w:r>
        <w:t>IV. KOMUNIKACE A DORUČOVÁNÍ POSUDKŮ</w:t>
      </w:r>
    </w:p>
    <w:p/>
    <w:p>
      <w:r>
        <w:t>1. Posudky budou předávány osobně nebo zabezpečeně; výjimečně zaslány na e-mail [[EMAIL_2]].</w:t>
      </w:r>
    </w:p>
    <w:p>
      <w:r>
        <w:t>2. Faktury budou zasílány na [[EMAIL_5]].</w:t>
      </w:r>
    </w:p>
    <w:p/>
    <w:p>
      <w:r>
        <w:t>V. ÚHRADA</w:t>
      </w:r>
    </w:p>
    <w:p/>
    <w:p>
      <w:r>
        <w:t>1. Cena prohlídky: 950 Kč / osoba; fakturace měsíčně.</w:t>
      </w:r>
    </w:p>
    <w:p>
      <w:r>
        <w:t>2. Úhrada na [[BANK_1]]; variabilní symbol [[ICO_2]].</w:t>
      </w:r>
    </w:p>
    <w:p/>
    <w:p>
      <w:r>
        <w:t>VI. ZÁVĚR</w:t>
      </w:r>
    </w:p>
    <w:p/>
    <w:p>
      <w:r>
        <w:t>V Praze dne [[DATE_1]]</w:t>
      </w:r>
    </w:p>
    <w:p/>
    <w:p>
      <w:r>
        <w:t>……………………..............................</w:t>
      </w:r>
    </w:p>
    <w:p>
      <w:r>
        <w:t>MUDr. [[PERSON_1]]</w:t>
      </w:r>
    </w:p>
    <w:p/>
    <w:p>
      <w:r>
        <w:t>……………………..............................</w:t>
      </w:r>
    </w:p>
    <w:p>
      <w:r>
        <w:t>Ing. [[PERSON_2]]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