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[[PERSON_13]]“,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[[PERSON_14]]“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[[PERSON_22]]“,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Ritą [[PERSON_34]]“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„o [[PERSON_35]]“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[[PERSON_47]]“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[[PERSON_51]] – „bez [[PERSON_51]]“, „k [[PERSON_51]]“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[[PERSON_52]] – „bez [[PERSON_52]]“, „o [[PERSON_52]]“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[[PERSON_53]] – „bez [[PERSON_53]]“, „k [[PERSON_53]]“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„k [[PERSON_55]]“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 w:rsidRPr="00B93E96">
        <w:rPr>
          <w:b/>
          <w:bCs/>
        </w:rPr>
        <w:t>Olda Skála</w:t>
      </w:r>
      <w:r w:rsidRPr="00B93E96">
        <w:t xml:space="preserve"> – „bez Oldy Skály“, „k Oldovi Skálovi“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[[PERSON_83]]“, „k [[PERSON_82]]“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