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3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在“我的演讲”中新建项目，例如“首次测试”。默认选中内置的“克制极简风格”，也可改选其他风格。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极简风格”已随程序内置，采用黑白基底、荧光强调和按内容构图的完整提示词，默认直接出图。新建项目预选这一风格；从某个风格详情新建时，沿用明确选择。升级只补充缺失的内置项，保留旧项目、图片、历史和已有风格修改。个人版同名风格继续保留，程序版标为“内置默认”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r>
        <w:rPr>
          <w:b w:val="0"/>
        </w:rPr>
        <w:t>逐页修改后可提交后台任务，再编辑其他页，最多同时执行 4 项，超出自动排队。拆分或合并方案只锁定来源页，追加讲稿只锁定本段未完成页；其他页可改稿、重绘，也可提交下一段。已完成页及时解锁。同一项目的追加段落按顺序制作。正在制作的本页可先写修改草稿，完成后再提交；离开时提示未提交内容。确认结构调整、切换风格和导出仍需项目空闲。旧图保留，失败可重试；实际提速取决于服务商额度。 弹窗外部的点击或拖动不会关闭弹窗；请使用关闭、取消按钮或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仍失败时显示阶段、待核对文字、来源引用和候选文案，停止出图并保留旧图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