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回到演练中心并打开演讲播放器。默认进入“放映”，可选择已有口播或仅放映 PPT；已有音频不要求重新配置服务。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并保存，原稿不变。留空表示本页不口播。</w:t>
      </w:r>
    </w:p>
    <w:p>
      <w:pPr>
        <w:ind w:left="288" w:hanging="288"/>
      </w:pPr>
      <w:r>
        <w:rPr>
          <w:b w:val="0"/>
        </w:rPr>
        <w:t>3. 进入“2 · 声音制作”。选择播报男声、新闻女声、电台男主播、温柔学姐或自己创建的声音。设置整体及逐页情绪，必要时调整生成语速；试听本页开头最多 180 字，试听会调用语音服务。</w:t>
      </w:r>
    </w:p>
    <w:p>
      <w:pPr>
        <w:ind w:left="288" w:hanging="288"/>
      </w:pPr>
      <w:r>
        <w:rPr>
          <w:b w:val="0"/>
        </w:rPr>
        <w:t>4.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5. 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口播文本”点击“重新识别整场口播”，按钮旁会显示处理页数、过滤数量与更新结果；没有变化也会明确提示。识别和保存只处理文字、不计费，保存成功或失败就在按钮旁显示。检查文本后前往“2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