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在“我的演讲”中新建项目，例如“首次测试”。先选择内置风格，如“极简叙事”，便于先验证主流程。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自行完成构图，不保证逐像素保留旧布局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  <w:pageBreakBefore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打开页面的“上屏文案与风格”，展开“文字取舍与密度”，可查看方案生成时的讲稿字数、上屏字数、文字组数、本次精简、保留的关键信息和留给口播的展开。字数含标点、不计空白；附件内部文字不计入统计，但图片会交给模型一起判断阅读负担。改稿后的旧方案会提示需要重新设计；历史方案没有这些记录时不显示。还可展开“本次风格提示词原文”和“实际发送的出图提示词”，核对本次输入。</w:t>
      </w:r>
    </w:p>
    <w:p>
      <w:r>
        <w:rPr>
          <w:b w:val="0"/>
        </w:rPr>
        <w:t>不同页面采用不同提醒值，超出时结合内容判断，并说明保留理由；不会按比例截断原稿，也不会自动增加页数。如果仍觉得字多，可在“上屏文字调整”中写“减少上屏文字，保留关键数据和限定条件”，重新设计这一页。只调整画面或切换风格时，已复核文案保持原样。确需拆页时，按提示在逐字稿中手动选择分界。</w:t>
      </w:r>
    </w:p>
    <w:p>
      <w:r>
        <w:rPr>
          <w:b w:val="0"/>
        </w:rPr>
        <w:t>文案复核未通过时不会开始出图，旧图片仍保留。只有首次提炼、讲稿或附件变化、主动调整文案、旧版记录升级时，才需要文案提炼和复核两次内容请求，可能增加等待时间和服务费用。换风格或重新构图复用当前版本的文案记录；图片阶段失败后，原任务重试复用已保存方案。密度复核是模型对文案的判断，尚未用用户认可的样张校准，不代表实际成图面积或阅读时间测量，生成后仍应检查效果。</w:t>
      </w:r>
    </w:p>
    <w:p>
      <w:r>
        <w:rPr>
          <w:b w:val="0"/>
        </w:rPr>
        <w:t>图片请求要求新增有语义文字只来自已复核清单，不自行补写中文、英文口号或页码。附件原有文字和字符画中的图像字符可保留。这是请求约束，生成后仍应检查文字是否准确。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要直接放进新页面的内容材料，不是风格参考。写明希望怎样使用，例如“用第一张产品截图解释操作流程，第二张图表放在右侧，保留数据和标签”，再点击“重新设计这页”。系统会把附件交给文案提炼与复核模型判断内容和阅读负担，再连同原始风格提示词、提炼文案和你的画面要求交给图片模型安排构图。请求要求保留附件的原始内容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  <w:pageBreakBefore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