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4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或服务器；第一次在“模型设置”配置内容理解与图片生成服务。项目保存在本机；调用模型时，相关文字和图片仍会发送到自己配置的服务商，并按服务商规则计费。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不会自动迁移旧项目，原项目继续从浏览器版打开；当前没有自动迁移工具。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能看到“我的演讲”“风格库”“模型设置”即表示本机程序已经启动。首次运行没有个人项目，模型密钥也需要重新配置。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在“我的演讲”中新建项目，例如“首次测试”。默认选中“克制儿童摄影杂志风”，也可改选其他风格。</w:t>
      </w:r>
    </w:p>
    <w:p>
      <w:pPr>
        <w:ind w:left="288" w:hanging="288"/>
      </w:pPr>
      <w:r>
        <w:rPr>
          <w:b w:val="0"/>
        </w:rPr>
        <w:t>2. 粘贴下面这段短稿并提交生成，等待拆页和出图完成：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先点击“报告”，确认原稿正文与页面备注逐字一致；再点击项目右上角“导出 PPT”，再点击“下载 PPT 与逐字稿”。解压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介绍”，在右侧内容区阅读产品介绍，左侧导航保留。顶部“返回刚才的页面”可回到原来的编辑页面，未提交的表单内容保持；也可点击左侧“我的演讲”“风格库”等继续操作。独立打开本机介绍页时，顶部也有“返回工作台”。先看“风格制作”和“演讲稿制作”两条主线：前者介绍提取或手动设置、试做调试、内容倾向与配色；后者介绍粘贴逐字稿后自动拆页、提炼上屏文案、按风格生成，再插页、合并、拆分和导出。功能介绍、截图、具体操作步骤与常见问题全部纵向展开，一直向下滚动即可阅读，不需要切换标签或点击展开；点击截图仍可放大查看。“开始使用”部分提供安装命令、API 配置说明和 Markdown 快速指南下载。浏览介绍页不需要 API。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生成成功后点击“将这张图设为风格封面”，风格库和选风格时就会显示这张图；此操作只改变预览，不改提示词、不增加出图参考。生成需先配置模型，会调用所选服务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“本次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显示“最近添加”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项目右上角，“导出 PPT”旁有“报告”。报告显示四项：已提交原文字数、页面总数、页面备注字数、演说稿字数，并显示已有画面与待生成的页数。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点击“下载 PPT 与逐字稿”会下载带版本号的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如果提示画面待更新，先重做图片，或确认使用当前图片配最新备注。</w:t>
      </w:r>
    </w:p>
    <w:p>
      <w:r>
        <w:rPr>
          <w:b w:val="0"/>
        </w:rPr>
        <w:t>在“演说稿”区域点击“导出演说稿（Markdown）”，可以单独导出全部页面的最新完整正文，每页用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：项目、风格、原文、页面方案、历史与任务。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：参考图、内容附件和生成图片。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：模型连接配置与密钥。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