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拆分讲稿、分析参考图、设计页面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Generations，支持文字生成图片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根据页面方案生成完整画面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生成时会把相关讲稿、设计内容，以及风格分析所需的参考图发送给配置的模型服务，可能消耗该服务额度。API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提炼后可先“风格试做”。调整规范产生的是候选版本，点击“保存这版为正式风格”后才应用于后续制作。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选择新风格后，选中需要更新的页面并重新设计。切换风格或修改规范会解除旧方案的字体、配色、图形和构图锁定；仅切换选择不会自动替换成品，旧版本保留。</w:t>
      </w:r>
    </w:p>
    <w:p>
      <w:r>
        <w:rPr>
          <w:b w:val="0"/>
        </w:rPr>
        <w:t>风格版本一致、讲稿未改且来源明确时，可用“保留布局，只补细节”保留满意的构图。风格来源不明时重新构思。参考图先转成文字规范，最终效果需检查样张。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