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3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程序运行在每个人自己的电脑上，项目也保存在本机。分享代码不会同步已有项目、参考图或模型密钥。</w:t>
      </w:r>
    </w:p>
    <w:p>
      <w:pPr>
        <w:pStyle w:val="Heading1"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在“我的演讲”中新建项目，例如“首次测试”。默认选中“克制儿童摄影杂志风”，也可改选其他风格。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 与逐字稿”。解压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介绍”，在新标签页打开产品介绍页，不会离开正在编辑的项目。先看“风格制作”和“演讲稿制作”两条主线：前者介绍提取或手动设置、试做调试、内容倾向与配色；后者介绍粘贴逐字稿后自动拆页、提炼上屏文案、按风格生成，再插页、合并、拆分和导出。每个模块都有可切换的功能细节；点击截图可以放大，展开“具体怎么用”查看操作步骤。“开始使用”部分提供安装命令、API 配置说明和 Markdown 快速指南下载。浏览介绍页不需要 API。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“本次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显示“最近添加”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更新，重新设计才与新稿一致；旧图和版本历史保留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>点击“下载 PPT 与逐字稿”会下载带版本号的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在“演说稿”区域点击“导出演说稿（Markdown）”，可以单独导出全部页面的最新完整正文，每页用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>截至本次验证，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会报告 2 项 high 级别依赖审计告警，涉及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与 </w:t>
      </w:r>
      <w:r>
        <w:rPr>
          <w:rFonts w:ascii="Menlo" w:hAnsi="Menlo"/>
          <w:b w:val="0"/>
          <w:sz w:val="20"/>
        </w:rPr>
        <w:t>pptxgenjs</w:t>
      </w:r>
      <w:r>
        <w:rPr>
          <w:b w:val="0"/>
        </w:rPr>
        <w:t xml:space="preserve">。这是待维护者处理的依赖问题，安装、构建和测试可以完成。不要为了消除提示直接执行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>，它可能更换当前导出依赖版本。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