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文案规则升级时，需提炼和复核两次内容请求，可能增加等待和费用。换风格、重新构图及仅更新出图边界时复用有效文案；图片失败后重试复用有效方案。密度复核尚未用认可样张校准，不代表实际成图面积或阅读时间，成图仍需检查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