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拆分讲稿、分析参考图、设计页面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提炼后可先“风格试做”。调整规范产生的是候选版本，点击“保存这版为正式风格”后才应用于后续制作。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选择新风格后，选中需要更新的页面并重新设计。切换风格或修改规范会解除旧方案的字体、配色、图形和构图锁定；仅切换选择不会自动替换成品，旧版本保留。</w:t>
      </w:r>
    </w:p>
    <w:p>
      <w:r>
        <w:rPr>
          <w:b w:val="0"/>
        </w:rPr>
        <w:t>风格版本一致、讲稿未改且来源明确时，可用“保留布局，只补细节”保留满意的构图。风格来源不明时重新构思。参考图先转成文字规范，最终效果需检查样张。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新页面会先提炼上屏文案，再单独复核，最后排版出图。系统把内容分为核心表达、必要支撑和口播展开，优先精简重复解释与长段落，同时保留关键条件、数字、单位和范围。逐字稿与导出备注保持完整。</w:t>
      </w:r>
    </w:p>
    <w:p>
      <w:r>
        <w:rPr>
          <w:b w:val="0"/>
        </w:rPr>
        <w:t>打开页面的“设计方案”，展开“文字取舍与密度”，可查看方案生成时的讲稿字数、上屏字数、文字组数、本次精简、保留的关键信息和留给口播的展开。字数含标点、不计空白；附件内部文字不计入统计，但图片会交给模型一起判断阅读负担。改稿后的旧方案会提示需要重新设计；历史方案没有这些记录时不显示。</w:t>
      </w:r>
    </w:p>
    <w:p>
      <w:r>
        <w:rPr>
          <w:b w:val="0"/>
        </w:rPr>
        <w:t>不同页面采用不同提醒值，超出时结合内容判断，并说明保留理由；不会按比例截断原稿，也不会自动增加页数。如果仍觉得字多，可在反馈中写“减少上屏文字，保留关键数据和限定条件”，重新设计这一页。只要求“保留布局，微调细节”时，原有主文案会保留。确需拆页时，按提示在逐字稿中手动选择分界。</w:t>
      </w:r>
    </w:p>
    <w:p>
      <w:r>
        <w:rPr>
          <w:b w:val="0"/>
        </w:rPr>
        <w:t>文案复核未通过时不会开始出图，旧图片仍保留。每次新设计增加两次内容模型请求，可能增加等待时间和该服务费用；图片阶段失败后，原任务重试会复用已保存方案。密度复核是模型对文案的判断，尚未用用户认可的样张校准，不代表实际成图面积或阅读时间测量，生成后仍应检查效果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设计模型安排用途、位置与保留细节，再连同方案一起交给图片模型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