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6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点击项目右上角“重新设计”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项目右上角点击“动态 HTML”。选择“整个项目”，或先关闭窗口、在工作台勾选多页，再选择“选中的页面”。一次支持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 PPT”保持不变。转换使用当时的图片快照，后来改稿或换图不会自动更新已有演示。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本机版打开演讲项目，点击顶部“播放演讲”。可以直接选择“仅放映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 xml:space="preserve">需要自动口播时，先在“模型设置”中找到“演讲语音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回到“播放演讲”，选择播报男声、新闻女声、电台男主播或温柔学姐，也可选择自己创建的声音。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页需都有画面和非空讲稿；系统逐页、逐段合成并保存。出错后停止后续请求，已完成的声音保留，可点击“继续未完成的页面”。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全部完成后点击“开始口播”。每页按完整讲稿讲述，长页多个片段依次播放，最后一段结束才翻到下一页。可暂停、继续、跳页或拖动当前片段进度；讲到末页自动停止，切换到其他浏览器标签页会暂停。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当前语音只在本机产品内播放，PPTX 与动态 HTML 导出不包含口播，也不导入外部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