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8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有页面失败时，顶部立即显示失败数量。展开“查看原因与处理方式”可查看原页码、原因分类、建议操作，再展开具体错误。失败页本轮先跳过，其他页继续，已完成内容立即保存。只在符合自动重试条件的连接中断时显示等待与重试次数，无需再次点击；进入失败明细的页不会自动无限重试。任务结束后处理原因，再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使用普通口播”，不额外调用内容分析模型。失败会说明已停止，可重新编排或选择普通口播，旧音频仍可播放。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再结合全场目录、前后文和原稿提示，给原句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编排显示当前处理页和进度，可以停止；失败或中断保留上一份完成方案与已有音频，下次不会自动调用模型。完成后在“2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本次新增演绎流程通过模拟模型、浏览器交互和真实模型短稿联调：121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先核对两类模型的密钥、地址和名称。401/403 查密钥与权限，404 查接口与模型，429 查额度与限流。连接测试通过不代表生成稳定，以任务错误为准；修复后点重试或继续，不要删除数据目录。</w:t>
      </w:r>
    </w:p>
    <w:p>
      <w:r>
        <w:rPr>
          <w:b w:val="0"/>
        </w:rPr>
        <w:t>若服务明确返回上游 TLS 握手中断，内容请求会等待 2、5、10 秒，最多重试 3 次；后台显示进度，停止可取消。持续失败需检查模型服务。普通 5xx、超时、结果不确定及图片请求不自动重发；各次用量单独记录，未知费用不记零。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